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5B65">
      <w:pPr>
        <w:adjustRightInd w:val="0"/>
        <w:snapToGrid w:val="0"/>
        <w:spacing w:after="156" w:afterLines="50" w:line="360" w:lineRule="auto"/>
        <w:jc w:val="center"/>
        <w:outlineLvl w:val="0"/>
        <w:rPr>
          <w:rFonts w:hint="eastAsia" w:ascii="黑体" w:hAnsi="Times New Roman" w:eastAsia="黑体" w:cs="Times New Roman"/>
          <w:b/>
          <w:color w:val="auto"/>
          <w:kern w:val="44"/>
          <w:sz w:val="48"/>
          <w:szCs w:val="20"/>
        </w:rPr>
      </w:pPr>
      <w:r>
        <w:rPr>
          <w:rFonts w:hint="eastAsia" w:ascii="宋体" w:hAnsi="宋体" w:eastAsia="宋体" w:cs="Times New Roman"/>
          <w:b/>
          <w:color w:val="auto"/>
          <w:sz w:val="30"/>
          <w:szCs w:val="30"/>
        </w:rPr>
        <w:t xml:space="preserve"> 采购需求</w:t>
      </w:r>
    </w:p>
    <w:p w14:paraId="5CE00DD9">
      <w:pPr>
        <w:adjustRightInd w:val="0"/>
        <w:snapToGrid w:val="0"/>
        <w:spacing w:before="156" w:beforeLines="50" w:after="156" w:afterLines="50" w:line="360" w:lineRule="auto"/>
        <w:jc w:val="center"/>
        <w:rPr>
          <w:rFonts w:hint="eastAsia" w:ascii="宋体" w:hAnsi="宋体" w:eastAsia="宋体" w:cs="Times New Roman"/>
          <w:b/>
          <w:color w:val="auto"/>
          <w:sz w:val="24"/>
        </w:rPr>
      </w:pPr>
    </w:p>
    <w:p w14:paraId="4DA759EC">
      <w:pPr>
        <w:adjustRightInd w:val="0"/>
        <w:snapToGrid w:val="0"/>
        <w:spacing w:before="156" w:beforeLines="50" w:after="156" w:afterLines="50" w:line="360" w:lineRule="auto"/>
        <w:jc w:val="center"/>
        <w:rPr>
          <w:rFonts w:hint="eastAsia" w:ascii="宋体" w:hAnsi="宋体" w:eastAsia="宋体" w:cs="Times New Roman"/>
          <w:b/>
          <w:color w:val="auto"/>
          <w:sz w:val="28"/>
          <w:szCs w:val="28"/>
        </w:rPr>
      </w:pPr>
      <w:r>
        <w:rPr>
          <w:rFonts w:hint="eastAsia" w:ascii="宋体" w:hAnsi="宋体" w:eastAsia="宋体" w:cs="Times New Roman"/>
          <w:b/>
          <w:color w:val="auto"/>
          <w:sz w:val="28"/>
          <w:szCs w:val="28"/>
        </w:rPr>
        <w:t>货物需求一览表</w:t>
      </w:r>
    </w:p>
    <w:p w14:paraId="1BB73F8F">
      <w:pPr>
        <w:rPr>
          <w:rFonts w:hint="eastAsia" w:ascii="Times New Roman" w:hAnsi="Times New Roman" w:eastAsia="宋体" w:cs="Times New Roman"/>
          <w:color w:val="auto"/>
        </w:rPr>
      </w:pPr>
    </w:p>
    <w:tbl>
      <w:tblPr>
        <w:tblStyle w:val="6"/>
        <w:tblW w:w="78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38"/>
        <w:gridCol w:w="3675"/>
        <w:gridCol w:w="1517"/>
        <w:gridCol w:w="1710"/>
      </w:tblGrid>
      <w:tr w14:paraId="342F4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73" w:hRule="atLeast"/>
          <w:jc w:val="center"/>
        </w:trPr>
        <w:tc>
          <w:tcPr>
            <w:tcW w:w="938" w:type="dxa"/>
            <w:noWrap w:val="0"/>
            <w:vAlign w:val="center"/>
          </w:tcPr>
          <w:p w14:paraId="798B7B99">
            <w:pPr>
              <w:jc w:val="center"/>
              <w:rPr>
                <w:rFonts w:ascii="宋体" w:hAnsi="Bookman Old Style" w:eastAsia="宋体" w:cs="Times New Roman"/>
                <w:color w:val="auto"/>
                <w:sz w:val="24"/>
              </w:rPr>
            </w:pPr>
            <w:r>
              <w:rPr>
                <w:rFonts w:hint="eastAsia" w:ascii="宋体" w:hAnsi="Bookman Old Style" w:eastAsia="宋体" w:cs="Times New Roman"/>
                <w:color w:val="auto"/>
                <w:sz w:val="24"/>
              </w:rPr>
              <w:t>包号</w:t>
            </w:r>
          </w:p>
        </w:tc>
        <w:tc>
          <w:tcPr>
            <w:tcW w:w="3675" w:type="dxa"/>
            <w:noWrap w:val="0"/>
            <w:vAlign w:val="center"/>
          </w:tcPr>
          <w:p w14:paraId="7099A84B">
            <w:pPr>
              <w:jc w:val="center"/>
              <w:rPr>
                <w:rFonts w:ascii="宋体" w:hAnsi="Bookman Old Style" w:eastAsia="宋体" w:cs="Times New Roman"/>
                <w:color w:val="auto"/>
                <w:sz w:val="24"/>
              </w:rPr>
            </w:pPr>
            <w:r>
              <w:rPr>
                <w:rFonts w:hint="eastAsia" w:ascii="宋体" w:hAnsi="Bookman Old Style" w:eastAsia="宋体" w:cs="Times New Roman"/>
                <w:color w:val="auto"/>
                <w:sz w:val="24"/>
              </w:rPr>
              <w:t>货物名称</w:t>
            </w:r>
          </w:p>
        </w:tc>
        <w:tc>
          <w:tcPr>
            <w:tcW w:w="1517" w:type="dxa"/>
            <w:noWrap w:val="0"/>
            <w:vAlign w:val="center"/>
          </w:tcPr>
          <w:p w14:paraId="229FDA3D">
            <w:pPr>
              <w:jc w:val="center"/>
              <w:rPr>
                <w:rFonts w:ascii="宋体" w:hAnsi="Bookman Old Style" w:eastAsia="宋体" w:cs="Times New Roman"/>
                <w:color w:val="auto"/>
                <w:sz w:val="24"/>
              </w:rPr>
            </w:pPr>
            <w:r>
              <w:rPr>
                <w:rFonts w:hint="eastAsia" w:ascii="宋体" w:hAnsi="Bookman Old Style" w:eastAsia="宋体" w:cs="Times New Roman"/>
                <w:color w:val="auto"/>
                <w:sz w:val="24"/>
              </w:rPr>
              <w:t>数量</w:t>
            </w:r>
          </w:p>
        </w:tc>
        <w:tc>
          <w:tcPr>
            <w:tcW w:w="1710" w:type="dxa"/>
            <w:noWrap w:val="0"/>
            <w:vAlign w:val="center"/>
          </w:tcPr>
          <w:p w14:paraId="1E6F0218">
            <w:pPr>
              <w:jc w:val="center"/>
              <w:rPr>
                <w:rFonts w:ascii="宋体" w:hAnsi="Bookman Old Style" w:eastAsia="宋体" w:cs="Times New Roman"/>
                <w:color w:val="auto"/>
                <w:sz w:val="24"/>
              </w:rPr>
            </w:pPr>
            <w:r>
              <w:rPr>
                <w:rFonts w:hint="eastAsia" w:ascii="宋体" w:hAnsi="Bookman Old Style" w:eastAsia="宋体" w:cs="Times New Roman"/>
                <w:color w:val="auto"/>
                <w:sz w:val="24"/>
              </w:rPr>
              <w:t>是否接受进口</w:t>
            </w:r>
          </w:p>
        </w:tc>
      </w:tr>
      <w:tr w14:paraId="6547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73" w:hRule="atLeast"/>
          <w:jc w:val="center"/>
        </w:trPr>
        <w:tc>
          <w:tcPr>
            <w:tcW w:w="938" w:type="dxa"/>
            <w:noWrap w:val="0"/>
            <w:vAlign w:val="center"/>
          </w:tcPr>
          <w:p w14:paraId="2B7199EE">
            <w:pPr>
              <w:jc w:val="center"/>
              <w:rPr>
                <w:rFonts w:hint="eastAsia" w:ascii="宋体" w:hAnsi="Times New Roman" w:eastAsia="宋体" w:cs="Times New Roman"/>
                <w:color w:val="auto"/>
                <w:sz w:val="24"/>
              </w:rPr>
            </w:pPr>
            <w:r>
              <w:rPr>
                <w:rFonts w:hint="eastAsia" w:ascii="宋体" w:hAnsi="Times New Roman" w:eastAsia="宋体" w:cs="Times New Roman"/>
                <w:color w:val="auto"/>
                <w:sz w:val="24"/>
              </w:rPr>
              <w:t>1</w:t>
            </w:r>
          </w:p>
        </w:tc>
        <w:tc>
          <w:tcPr>
            <w:tcW w:w="3675" w:type="dxa"/>
            <w:noWrap w:val="0"/>
            <w:vAlign w:val="center"/>
          </w:tcPr>
          <w:p w14:paraId="2D1DB7C3">
            <w:pPr>
              <w:jc w:val="center"/>
              <w:rPr>
                <w:rFonts w:ascii="Bookman Old Style" w:hAnsi="Bookman Old Style" w:eastAsia="宋体" w:cs="Times New Roman"/>
                <w:color w:val="auto"/>
                <w:sz w:val="24"/>
              </w:rPr>
            </w:pPr>
            <w:r>
              <w:rPr>
                <w:rFonts w:ascii="Bookman Old Style" w:hAnsi="Bookman Old Style" w:eastAsia="宋体" w:cs="Times New Roman"/>
                <w:color w:val="auto"/>
                <w:sz w:val="24"/>
              </w:rPr>
              <w:t>12吋干法去胶机</w:t>
            </w:r>
          </w:p>
        </w:tc>
        <w:tc>
          <w:tcPr>
            <w:tcW w:w="1517" w:type="dxa"/>
            <w:noWrap w:val="0"/>
            <w:vAlign w:val="center"/>
          </w:tcPr>
          <w:p w14:paraId="6E79EBB3">
            <w:pPr>
              <w:jc w:val="center"/>
              <w:rPr>
                <w:rFonts w:hint="eastAsia" w:ascii="宋体" w:hAnsi="Bookman Old Style" w:eastAsia="宋体" w:cs="Times New Roman"/>
                <w:color w:val="auto"/>
                <w:sz w:val="24"/>
              </w:rPr>
            </w:pPr>
            <w:r>
              <w:rPr>
                <w:rFonts w:hint="eastAsia" w:ascii="宋体" w:hAnsi="宋体" w:eastAsia="宋体" w:cs="宋体"/>
                <w:color w:val="auto"/>
                <w:sz w:val="24"/>
              </w:rPr>
              <w:t>1套</w:t>
            </w:r>
          </w:p>
        </w:tc>
        <w:tc>
          <w:tcPr>
            <w:tcW w:w="1710" w:type="dxa"/>
            <w:noWrap w:val="0"/>
            <w:vAlign w:val="center"/>
          </w:tcPr>
          <w:p w14:paraId="44760B8C">
            <w:pPr>
              <w:jc w:val="center"/>
              <w:rPr>
                <w:rFonts w:hint="eastAsia" w:ascii="宋体" w:hAnsi="Bookman Old Style" w:eastAsia="宋体" w:cs="Times New Roman"/>
                <w:color w:val="auto"/>
                <w:sz w:val="24"/>
              </w:rPr>
            </w:pPr>
            <w:r>
              <w:rPr>
                <w:rFonts w:hint="eastAsia" w:ascii="宋体" w:hAnsi="Bookman Old Style" w:eastAsia="宋体" w:cs="Times New Roman"/>
                <w:color w:val="auto"/>
                <w:sz w:val="24"/>
              </w:rPr>
              <w:t>否</w:t>
            </w:r>
          </w:p>
        </w:tc>
      </w:tr>
    </w:tbl>
    <w:p w14:paraId="5888C422">
      <w:pPr>
        <w:adjustRightInd w:val="0"/>
        <w:snapToGrid w:val="0"/>
        <w:jc w:val="center"/>
        <w:rPr>
          <w:rFonts w:hint="eastAsia" w:ascii="宋体" w:hAnsi="宋体" w:eastAsia="宋体" w:cs="Times New Roman"/>
          <w:b/>
          <w:color w:val="auto"/>
          <w:sz w:val="30"/>
          <w:szCs w:val="30"/>
        </w:rPr>
      </w:pPr>
    </w:p>
    <w:p w14:paraId="56C48DAF">
      <w:pPr>
        <w:spacing w:line="360" w:lineRule="auto"/>
        <w:rPr>
          <w:rFonts w:hint="eastAsia" w:ascii="Bookman Old Style" w:hAnsi="Bookman Old Style" w:eastAsia="宋体" w:cs="Times New Roman"/>
          <w:color w:val="auto"/>
          <w:sz w:val="24"/>
        </w:rPr>
      </w:pPr>
      <w:r>
        <w:rPr>
          <w:rFonts w:hint="eastAsia" w:ascii="Times New Roman" w:hAnsi="Times New Roman" w:eastAsia="宋体" w:cs="Times New Roman"/>
          <w:color w:val="auto"/>
          <w:sz w:val="24"/>
        </w:rPr>
        <w:t>注：投标人须对上述投标内容中完整的一包或几包进行投标，</w:t>
      </w:r>
      <w:r>
        <w:rPr>
          <w:rFonts w:hint="eastAsia" w:ascii="Bookman Old Style" w:hAnsi="Bookman Old Style" w:eastAsia="宋体" w:cs="Times New Roman"/>
          <w:color w:val="auto"/>
          <w:sz w:val="24"/>
        </w:rPr>
        <w:t>不完整的投标将视为非响应性投标予以拒绝。</w:t>
      </w:r>
    </w:p>
    <w:p w14:paraId="1130F106">
      <w:pPr>
        <w:tabs>
          <w:tab w:val="left" w:pos="720"/>
        </w:tabs>
        <w:adjustRightInd w:val="0"/>
        <w:snapToGrid w:val="0"/>
        <w:jc w:val="center"/>
        <w:rPr>
          <w:rFonts w:ascii="Times New Roman" w:hAnsi="Times New Roman" w:eastAsia="宋体" w:cs="Times New Roman"/>
          <w:b/>
          <w:color w:val="auto"/>
          <w:sz w:val="32"/>
          <w:szCs w:val="32"/>
        </w:rPr>
      </w:pPr>
      <w:r>
        <w:rPr>
          <w:rFonts w:hint="eastAsia" w:ascii="Times New Roman" w:hAnsi="Times New Roman" w:eastAsia="宋体" w:cs="Times New Roman"/>
          <w:color w:val="auto"/>
        </w:rPr>
        <w:br w:type="page"/>
      </w:r>
      <w:r>
        <w:rPr>
          <w:rFonts w:hint="eastAsia" w:ascii="Times New Roman" w:hAnsi="Times New Roman" w:eastAsia="宋体" w:cs="Times New Roman"/>
          <w:b/>
          <w:color w:val="auto"/>
          <w:sz w:val="32"/>
          <w:szCs w:val="32"/>
        </w:rPr>
        <w:t>一、</w:t>
      </w:r>
      <w:r>
        <w:rPr>
          <w:rFonts w:ascii="Times New Roman" w:hAnsi="Times New Roman" w:eastAsia="宋体" w:cs="Times New Roman"/>
          <w:b/>
          <w:color w:val="auto"/>
          <w:sz w:val="32"/>
          <w:szCs w:val="32"/>
        </w:rPr>
        <w:t>总则</w:t>
      </w:r>
    </w:p>
    <w:p w14:paraId="530B88F6">
      <w:pPr>
        <w:spacing w:line="360" w:lineRule="auto"/>
        <w:ind w:left="601" w:hanging="601"/>
        <w:rPr>
          <w:rFonts w:hint="eastAsia" w:ascii="宋体" w:hAnsi="宋体" w:eastAsia="宋体" w:cs="宋体"/>
          <w:b/>
          <w:color w:val="auto"/>
          <w:sz w:val="24"/>
        </w:rPr>
      </w:pPr>
      <w:r>
        <w:rPr>
          <w:rFonts w:hint="eastAsia" w:ascii="宋体" w:hAnsi="宋体" w:eastAsia="宋体" w:cs="宋体"/>
          <w:b/>
          <w:color w:val="auto"/>
          <w:sz w:val="24"/>
        </w:rPr>
        <w:t>1、投标要求</w:t>
      </w:r>
    </w:p>
    <w:p w14:paraId="406E1249">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1.1  供应商在准备投标文件时，务必在所提供的商品的技术规格文件中，标明型号、商标名称、目录号。</w:t>
      </w:r>
    </w:p>
    <w:p w14:paraId="60F9C5BC">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1.2  供应商提供的货物须是成熟的全新的产品，其技术规格应符合采购文件的要求。如与采购文件的技术规格有偏差，应提供技术规格偏差的量值或说明（偏离表）。如供应商有意隐瞒对规格要求的偏差或在开标后提出新的偏差，采购人有权拒绝其投标。</w:t>
      </w:r>
    </w:p>
    <w:p w14:paraId="319ABD31">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1.3  供应商提供的产品样本，必须是“原件”而非复印件，图表、简图、电路图以及印刷电路板图等都应清晰易读。采购人有权不付任何附加费用复制这些资料以供参考。</w:t>
      </w:r>
    </w:p>
    <w:p w14:paraId="5108EA6D">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1.4  供应商的投标产品应符合国家有关部门规定的相应技术、节能、安全和环保标准；如国家有关部门对供应商的投标产品有强制性规定或要求的，则供应商的投标产品必须符合相应规定或要求。</w:t>
      </w:r>
    </w:p>
    <w:p w14:paraId="2265DC01">
      <w:pPr>
        <w:rPr>
          <w:rFonts w:hint="eastAsia" w:ascii="Times New Roman" w:hAnsi="Times New Roman" w:eastAsia="宋体" w:cs="Times New Roman"/>
          <w:color w:val="auto"/>
        </w:rPr>
      </w:pPr>
    </w:p>
    <w:p w14:paraId="219736CB">
      <w:pPr>
        <w:spacing w:line="360" w:lineRule="auto"/>
        <w:ind w:left="601" w:hanging="601"/>
        <w:rPr>
          <w:rFonts w:hint="eastAsia" w:ascii="宋体" w:hAnsi="宋体" w:eastAsia="宋体" w:cs="宋体"/>
          <w:b/>
          <w:color w:val="auto"/>
          <w:sz w:val="24"/>
        </w:rPr>
      </w:pPr>
      <w:r>
        <w:rPr>
          <w:rFonts w:hint="eastAsia" w:ascii="宋体" w:hAnsi="宋体" w:eastAsia="宋体" w:cs="宋体"/>
          <w:b/>
          <w:color w:val="auto"/>
          <w:sz w:val="24"/>
        </w:rPr>
        <w:t>2、评标标准</w:t>
      </w:r>
    </w:p>
    <w:p w14:paraId="499B719F">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2.1  除采购文件中指定的附件和专用工具外，供应商应提供仪器设备的正常运行和常规保养所需的全套标准附件、专用工具和消耗品。供应商在投标书中需列出这些附件和工具的数量和单价的清单，这些附件和工具的报价的总值需计入投标价中。</w:t>
      </w:r>
    </w:p>
    <w:p w14:paraId="7A050729">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2.2  对于标书技术规范中已列出的作为查询选件的附件、零配件、专用工具和消耗品，投标文件中应列明其数量、单价、总价供采购人参考。供应商也可推荐采购人没有要求的附件或专用工具作为选件，并列明其数量、单价、总价供采购人参考。选件价格不计入评标价中。选件一旦为采购人用户接受，其费用将加入合同价中。</w:t>
      </w:r>
    </w:p>
    <w:p w14:paraId="55260142">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2.3  为便于用户进行接收仪器的准备工作，供应商应在合同生效后</w:t>
      </w:r>
      <w:r>
        <w:rPr>
          <w:rFonts w:hint="eastAsia" w:ascii="宋体" w:hAnsi="宋体" w:eastAsia="宋体" w:cs="宋体"/>
          <w:b/>
          <w:color w:val="auto"/>
          <w:sz w:val="24"/>
        </w:rPr>
        <w:t>60</w:t>
      </w:r>
      <w:r>
        <w:rPr>
          <w:rFonts w:hint="eastAsia" w:ascii="宋体" w:hAnsi="宋体" w:eastAsia="宋体" w:cs="宋体"/>
          <w:color w:val="auto"/>
          <w:sz w:val="24"/>
        </w:rPr>
        <w:t>天内向用户提供一套完整的使用说明书、操作手册、维修及安装说明等文件。另一套完整上述资料应在交货时随货包装提供给用户，这些费用应计入投标价中。</w:t>
      </w:r>
    </w:p>
    <w:p w14:paraId="689BAA85">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2.4  关于设备的安装调试，如果有必要的安装准备条件，供应商应在合同生效后一个月内向采购人提出详细的要求或计划。安装调试的费用应计入投标价中，并应单独列出，供评标使用。</w:t>
      </w:r>
    </w:p>
    <w:p w14:paraId="6AA11A5C">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2.5  制造厂家提供的培训指的是涉及货物的基本原理、操作使用和保养维修等有关内容的培训。培训教员的培训费、旅费、食宿费等费用和培训场地费及培训资料费均应由供应商支付。</w:t>
      </w:r>
    </w:p>
    <w:p w14:paraId="64C25713">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2.6  在评标过程中，采购人有权向供应商索取任何与评标有关的资料，供应商务必在接到此类要求后，在规定时间内予以答复。对于无答复的供应商，采购人有权拒绝其投标。</w:t>
      </w:r>
    </w:p>
    <w:p w14:paraId="1022B9B3">
      <w:pPr>
        <w:rPr>
          <w:rFonts w:hint="eastAsia" w:ascii="Times New Roman" w:hAnsi="Times New Roman" w:eastAsia="宋体" w:cs="Times New Roman"/>
          <w:color w:val="auto"/>
        </w:rPr>
      </w:pPr>
    </w:p>
    <w:p w14:paraId="162C23C3">
      <w:pPr>
        <w:spacing w:line="360" w:lineRule="auto"/>
        <w:ind w:left="601" w:hanging="601"/>
        <w:rPr>
          <w:rFonts w:hint="eastAsia" w:ascii="宋体" w:hAnsi="宋体" w:eastAsia="宋体" w:cs="宋体"/>
          <w:b/>
          <w:color w:val="auto"/>
          <w:sz w:val="24"/>
        </w:rPr>
      </w:pPr>
      <w:r>
        <w:rPr>
          <w:rFonts w:hint="eastAsia" w:ascii="宋体" w:hAnsi="宋体" w:eastAsia="宋体" w:cs="宋体"/>
          <w:b/>
          <w:color w:val="auto"/>
          <w:sz w:val="24"/>
        </w:rPr>
        <w:t>3、工作条件</w:t>
      </w:r>
    </w:p>
    <w:p w14:paraId="7D4E4051">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除非在技术规格中另有说明，所有仪器、设备和系统都应符合下列要求： </w:t>
      </w:r>
    </w:p>
    <w:p w14:paraId="33C55B49">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3.1  适于在气温为摄氏-40℃～＋50℃和相对湿度为90％的环境条件下运输和贮存。</w:t>
      </w:r>
    </w:p>
    <w:p w14:paraId="2BB93EF7">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3.2  适于在电源380V（10％）/50Hz、气温摄氏+15℃～＋30℃和相对湿度小于80％的环境条件下运行。能够连续正常工作。</w:t>
      </w:r>
    </w:p>
    <w:p w14:paraId="2F3DD3BB">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3.3  配置符合中国有关标准要求的插头，如果没有这样的插头，则需提供适当的转换插座。</w:t>
      </w:r>
    </w:p>
    <w:p w14:paraId="1BE46D7C">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3.4  如产品达不到上述要求，供应商应注明其偏差。如仪器设备需要特殊工作条件（如水、电源、磁场强度、温度、湿度、动强度等）供应商应在投标书中加以说明。</w:t>
      </w:r>
    </w:p>
    <w:p w14:paraId="6DE44356">
      <w:pPr>
        <w:rPr>
          <w:rFonts w:hint="eastAsia" w:ascii="Times New Roman" w:hAnsi="Times New Roman" w:eastAsia="宋体" w:cs="Times New Roman"/>
          <w:color w:val="auto"/>
        </w:rPr>
      </w:pPr>
    </w:p>
    <w:p w14:paraId="75B5F126">
      <w:pPr>
        <w:spacing w:line="360" w:lineRule="auto"/>
        <w:ind w:left="601" w:hanging="601"/>
        <w:rPr>
          <w:rFonts w:hint="eastAsia" w:ascii="宋体" w:hAnsi="宋体" w:eastAsia="宋体" w:cs="宋体"/>
          <w:b/>
          <w:color w:val="auto"/>
          <w:sz w:val="24"/>
        </w:rPr>
      </w:pPr>
      <w:r>
        <w:rPr>
          <w:rFonts w:hint="eastAsia" w:ascii="宋体" w:hAnsi="宋体" w:eastAsia="宋体" w:cs="宋体"/>
          <w:b/>
          <w:color w:val="auto"/>
          <w:sz w:val="24"/>
        </w:rPr>
        <w:t>4、验收标准</w:t>
      </w:r>
    </w:p>
    <w:p w14:paraId="0BC76002">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除非在具体要求中另有说明，所有仪器、设备和系统按下列要求进行验收： </w:t>
      </w:r>
    </w:p>
    <w:p w14:paraId="40A22008">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4.1  仪器设备运抵安装现场后，采购人将与供应商共同开箱验收, 如供应商届时不派人来, 则验收结果应以采购人的验收报告为最终验收结果。验收时发现短缺、破损, 采购人有权要求供应商负责更换。</w:t>
      </w:r>
    </w:p>
    <w:p w14:paraId="75E045C3">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4.2  验收标准以中标人提供的投标文件中所列的指标为准（该指标应不低于采购文件所要求的指标）。任何虚假指标响应一经发现即作废标，供应商必须承担由此给采购人带来的一切经济损失和其它相关责任。</w:t>
      </w:r>
    </w:p>
    <w:p w14:paraId="6171911F">
      <w:pPr>
        <w:spacing w:line="360" w:lineRule="auto"/>
        <w:ind w:left="554" w:hanging="554" w:hangingChars="231"/>
        <w:rPr>
          <w:rFonts w:hint="eastAsia" w:ascii="宋体" w:hAnsi="宋体" w:eastAsia="宋体" w:cs="宋体"/>
          <w:color w:val="auto"/>
          <w:sz w:val="24"/>
        </w:rPr>
      </w:pPr>
      <w:r>
        <w:rPr>
          <w:rFonts w:hint="eastAsia" w:ascii="宋体" w:hAnsi="宋体" w:eastAsia="宋体" w:cs="宋体"/>
          <w:color w:val="auto"/>
          <w:sz w:val="24"/>
        </w:rPr>
        <w:t>4.3  验收由采购人、中标人及相关人员依国家有关标准、合同及有关附件要求进行，验收完毕由采购人及中标人在验收报告上签名。</w:t>
      </w:r>
    </w:p>
    <w:p w14:paraId="57807611">
      <w:pPr>
        <w:rPr>
          <w:rFonts w:hint="eastAsia" w:ascii="Times New Roman" w:hAnsi="Times New Roman" w:eastAsia="宋体" w:cs="Times New Roman"/>
          <w:color w:val="auto"/>
        </w:rPr>
      </w:pPr>
    </w:p>
    <w:p w14:paraId="250B1233">
      <w:pPr>
        <w:spacing w:line="360" w:lineRule="auto"/>
        <w:ind w:left="410" w:hanging="410" w:hangingChars="170"/>
        <w:rPr>
          <w:rFonts w:hint="eastAsia" w:ascii="宋体" w:hAnsi="宋体" w:eastAsia="宋体" w:cs="宋体"/>
          <w:b/>
          <w:color w:val="auto"/>
          <w:sz w:val="24"/>
        </w:rPr>
      </w:pPr>
      <w:r>
        <w:rPr>
          <w:rFonts w:hint="eastAsia" w:ascii="宋体" w:hAnsi="宋体" w:eastAsia="宋体" w:cs="宋体"/>
          <w:b/>
          <w:color w:val="auto"/>
          <w:sz w:val="24"/>
        </w:rPr>
        <w:t>5、本具体要求中标注“★”号的为实质性要求，不满足其投标将被拒绝，需要提供公开发布的产品彩页或生产厂家出具的技术证明文件。</w:t>
      </w:r>
    </w:p>
    <w:p w14:paraId="69BC3D42">
      <w:pPr>
        <w:rPr>
          <w:rFonts w:hint="eastAsia" w:ascii="Times New Roman" w:hAnsi="Times New Roman" w:eastAsia="宋体" w:cs="Times New Roman"/>
          <w:color w:val="auto"/>
        </w:rPr>
      </w:pPr>
    </w:p>
    <w:p w14:paraId="27AB6D15">
      <w:pPr>
        <w:spacing w:line="360" w:lineRule="auto"/>
        <w:rPr>
          <w:rFonts w:ascii="Times New Roman" w:hAnsi="Times New Roman" w:eastAsia="宋体" w:cs="Times New Roman"/>
          <w:b/>
          <w:color w:val="auto"/>
          <w:sz w:val="24"/>
        </w:rPr>
      </w:pPr>
      <w:r>
        <w:rPr>
          <w:rFonts w:hint="eastAsia" w:ascii="宋体" w:hAnsi="宋体" w:eastAsia="宋体" w:cs="宋体"/>
          <w:b/>
          <w:color w:val="auto"/>
          <w:sz w:val="24"/>
        </w:rPr>
        <w:t>6、如在具体要求中有本总则不一致之处，以具体要求中的要求内容为准。</w:t>
      </w:r>
    </w:p>
    <w:p w14:paraId="7B3D0970">
      <w:pPr>
        <w:adjustRightInd w:val="0"/>
        <w:snapToGrid w:val="0"/>
        <w:spacing w:before="156" w:beforeLines="50" w:after="156" w:afterLines="50" w:line="360" w:lineRule="auto"/>
        <w:jc w:val="center"/>
        <w:rPr>
          <w:rFonts w:hint="eastAsia" w:ascii="Times New Roman" w:hAnsi="Times New Roman" w:eastAsia="宋体" w:cs="Times New Roman"/>
          <w:color w:val="auto"/>
        </w:rPr>
      </w:pPr>
      <w:r>
        <w:rPr>
          <w:rFonts w:ascii="Times New Roman" w:hAnsi="Times New Roman" w:eastAsia="宋体" w:cs="Times New Roman"/>
          <w:b/>
          <w:color w:val="auto"/>
          <w:sz w:val="24"/>
        </w:rPr>
        <w:br w:type="page"/>
      </w:r>
      <w:r>
        <w:rPr>
          <w:rFonts w:hint="eastAsia" w:ascii="宋体" w:hAnsi="宋体" w:eastAsia="宋体" w:cs="Times New Roman"/>
          <w:b/>
          <w:color w:val="auto"/>
          <w:sz w:val="28"/>
          <w:szCs w:val="28"/>
        </w:rPr>
        <w:t>二、具体要求：</w:t>
      </w:r>
    </w:p>
    <w:p w14:paraId="042242BA">
      <w:pPr>
        <w:jc w:val="center"/>
        <w:rPr>
          <w:rFonts w:hint="eastAsia" w:ascii="Times New Roman" w:hAnsi="Times New Roman" w:eastAsia="宋体" w:cs="Times New Roman"/>
          <w:b/>
          <w:color w:val="auto"/>
          <w:sz w:val="28"/>
          <w:szCs w:val="28"/>
        </w:rPr>
      </w:pPr>
      <w:r>
        <w:rPr>
          <w:rFonts w:hint="eastAsia" w:ascii="Times New Roman" w:hAnsi="Times New Roman" w:eastAsia="宋体" w:cs="Times New Roman"/>
          <w:b/>
          <w:color w:val="auto"/>
          <w:sz w:val="28"/>
          <w:szCs w:val="28"/>
        </w:rPr>
        <w:t>货物名称：12吋干法去胶机</w:t>
      </w:r>
    </w:p>
    <w:p w14:paraId="7F14560C">
      <w:pPr>
        <w:pStyle w:val="9"/>
        <w:ind w:firstLine="0" w:firstLineChars="0"/>
        <w:rPr>
          <w:rFonts w:hint="eastAsia" w:hAnsi="宋体" w:eastAsia="宋体"/>
          <w:color w:val="auto"/>
        </w:rPr>
      </w:pPr>
    </w:p>
    <w:p w14:paraId="1365881B">
      <w:pPr>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（一）技术要求</w:t>
      </w:r>
    </w:p>
    <w:p w14:paraId="4C8A148B">
      <w:pPr>
        <w:widowControl/>
        <w:spacing w:line="360" w:lineRule="auto"/>
        <w:rPr>
          <w:rFonts w:hint="eastAsia" w:ascii="宋体" w:hAnsi="宋体" w:eastAsia="宋体" w:cs="宋体"/>
          <w:b/>
          <w:color w:val="auto"/>
          <w:sz w:val="24"/>
        </w:rPr>
      </w:pPr>
      <w:r>
        <w:rPr>
          <w:rFonts w:hint="eastAsia" w:ascii="宋体" w:hAnsi="宋体" w:eastAsia="宋体" w:cs="宋体"/>
          <w:b/>
          <w:color w:val="auto"/>
          <w:sz w:val="24"/>
        </w:rPr>
        <w:t>1、产品名称、数量：</w:t>
      </w:r>
      <w:r>
        <w:rPr>
          <w:rFonts w:hint="eastAsia" w:ascii="宋体" w:hAnsi="宋体" w:eastAsia="宋体" w:cs="宋体"/>
          <w:bCs/>
          <w:color w:val="auto"/>
          <w:sz w:val="24"/>
        </w:rPr>
        <w:t>12吋干法去胶机，总计1台。</w:t>
      </w:r>
    </w:p>
    <w:p w14:paraId="5E2A2786">
      <w:pPr>
        <w:widowControl/>
        <w:spacing w:line="360" w:lineRule="auto"/>
        <w:rPr>
          <w:rFonts w:hint="eastAsia" w:ascii="宋体" w:hAnsi="宋体" w:eastAsia="宋体" w:cs="宋体"/>
          <w:b/>
          <w:color w:val="auto"/>
          <w:sz w:val="24"/>
        </w:rPr>
      </w:pPr>
      <w:r>
        <w:rPr>
          <w:rFonts w:hint="eastAsia" w:ascii="宋体" w:hAnsi="宋体" w:eastAsia="宋体" w:cs="宋体"/>
          <w:b/>
          <w:color w:val="auto"/>
          <w:sz w:val="24"/>
        </w:rPr>
        <w:t>2、设备用途说明：</w:t>
      </w:r>
    </w:p>
    <w:p w14:paraId="5CBFBEC8">
      <w:pPr>
        <w:widowControl/>
        <w:tabs>
          <w:tab w:val="left" w:pos="1260"/>
        </w:tabs>
        <w:spacing w:line="360" w:lineRule="auto"/>
        <w:ind w:firstLine="480" w:firstLineChars="200"/>
        <w:rPr>
          <w:rFonts w:hint="eastAsia" w:ascii="宋体" w:hAnsi="宋体" w:eastAsia="宋体" w:cs="宋体"/>
          <w:b/>
          <w:color w:val="auto"/>
          <w:sz w:val="24"/>
        </w:rPr>
      </w:pPr>
      <w:r>
        <w:rPr>
          <w:rFonts w:hint="eastAsia" w:ascii="宋体" w:hAnsi="宋体" w:eastAsia="宋体" w:cs="宋体"/>
          <w:color w:val="auto"/>
          <w:sz w:val="24"/>
        </w:rPr>
        <w:t>主要用来进行光刻胶及聚合物的干法去除工艺。</w:t>
      </w:r>
    </w:p>
    <w:p w14:paraId="2BF7EEDA">
      <w:pPr>
        <w:widowControl/>
        <w:tabs>
          <w:tab w:val="left" w:pos="8010"/>
        </w:tabs>
        <w:spacing w:line="360" w:lineRule="auto"/>
        <w:rPr>
          <w:rFonts w:hint="eastAsia" w:ascii="宋体" w:hAnsi="宋体" w:eastAsia="宋体" w:cs="宋体"/>
          <w:color w:val="auto"/>
          <w:sz w:val="24"/>
        </w:rPr>
      </w:pPr>
      <w:r>
        <w:rPr>
          <w:rFonts w:hint="eastAsia" w:ascii="宋体" w:hAnsi="宋体" w:eastAsia="宋体" w:cs="宋体"/>
          <w:b/>
          <w:color w:val="auto"/>
          <w:sz w:val="24"/>
        </w:rPr>
        <w:t>3、技术要求及参数：</w:t>
      </w:r>
    </w:p>
    <w:p w14:paraId="655C49D4">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3.1整机</w:t>
      </w:r>
    </w:p>
    <w:p w14:paraId="5E34AF4C">
      <w:pPr>
        <w:spacing w:line="360" w:lineRule="auto"/>
        <w:rPr>
          <w:rFonts w:hint="eastAsia" w:ascii="宋体" w:hAnsi="宋体" w:eastAsia="宋体" w:cs="宋体"/>
          <w:color w:val="auto"/>
          <w:sz w:val="24"/>
        </w:rPr>
      </w:pPr>
      <w:r>
        <w:rPr>
          <w:rFonts w:hint="eastAsia" w:ascii="宋体" w:hAnsi="宋体" w:eastAsia="宋体" w:cs="宋体"/>
          <w:bCs/>
          <w:color w:val="auto"/>
          <w:sz w:val="24"/>
        </w:rPr>
        <w:t xml:space="preserve">★3.1.1 </w:t>
      </w:r>
      <w:r>
        <w:rPr>
          <w:rFonts w:hint="eastAsia" w:ascii="宋体" w:hAnsi="宋体" w:eastAsia="宋体" w:cs="宋体"/>
          <w:color w:val="auto"/>
          <w:kern w:val="0"/>
          <w:sz w:val="24"/>
        </w:rPr>
        <w:t>适用的晶圆尺寸：12吋。</w:t>
      </w:r>
    </w:p>
    <w:p w14:paraId="1C47ED77">
      <w:pPr>
        <w:spacing w:line="360" w:lineRule="auto"/>
        <w:rPr>
          <w:rFonts w:hint="eastAsia" w:ascii="宋体" w:hAnsi="宋体" w:eastAsia="宋体" w:cs="宋体"/>
          <w:color w:val="auto"/>
          <w:sz w:val="24"/>
        </w:rPr>
      </w:pPr>
      <w:r>
        <w:rPr>
          <w:rFonts w:hint="eastAsia" w:ascii="宋体" w:hAnsi="宋体" w:eastAsia="宋体" w:cs="宋体"/>
          <w:bCs/>
          <w:color w:val="auto"/>
          <w:sz w:val="24"/>
        </w:rPr>
        <w:t>★3.1.2 系统应包括至少3个</w:t>
      </w:r>
      <w:r>
        <w:rPr>
          <w:rFonts w:hint="eastAsia" w:ascii="宋体" w:hAnsi="宋体" w:eastAsia="宋体" w:cs="宋体"/>
          <w:color w:val="auto"/>
          <w:kern w:val="0"/>
          <w:sz w:val="24"/>
        </w:rPr>
        <w:t>载货台</w:t>
      </w:r>
      <w:r>
        <w:rPr>
          <w:rFonts w:hint="eastAsia" w:ascii="宋体" w:hAnsi="宋体" w:eastAsia="宋体" w:cs="宋体"/>
          <w:bCs/>
          <w:color w:val="auto"/>
          <w:sz w:val="24"/>
        </w:rPr>
        <w:t>(loadport)，并具备自动化传输装置，支持晶圆载具（FOUP）上下料功能。</w:t>
      </w:r>
    </w:p>
    <w:p w14:paraId="05AEC9F6">
      <w:pPr>
        <w:spacing w:line="360" w:lineRule="auto"/>
        <w:rPr>
          <w:rFonts w:hint="eastAsia" w:ascii="宋体" w:hAnsi="宋体" w:eastAsia="宋体" w:cs="宋体"/>
          <w:color w:val="auto"/>
          <w:kern w:val="0"/>
          <w:sz w:val="24"/>
        </w:rPr>
      </w:pPr>
      <w:r>
        <w:rPr>
          <w:rFonts w:hint="eastAsia" w:ascii="宋体" w:hAnsi="宋体" w:eastAsia="宋体" w:cs="宋体"/>
          <w:bCs/>
          <w:color w:val="auto"/>
          <w:sz w:val="24"/>
        </w:rPr>
        <w:t>▲3.1.3 有3个反应腔室，具备真空系统。</w:t>
      </w:r>
      <w:r>
        <w:rPr>
          <w:rFonts w:hint="eastAsia" w:ascii="宋体" w:hAnsi="宋体" w:eastAsia="宋体" w:cs="宋体"/>
          <w:color w:val="auto"/>
          <w:kern w:val="0"/>
          <w:sz w:val="24"/>
        </w:rPr>
        <w:t xml:space="preserve"> </w:t>
      </w:r>
    </w:p>
    <w:p w14:paraId="5CE916E3">
      <w:pPr>
        <w:spacing w:line="360" w:lineRule="auto"/>
        <w:rPr>
          <w:rFonts w:hint="eastAsia" w:ascii="宋体" w:hAnsi="宋体" w:eastAsia="宋体" w:cs="宋体"/>
          <w:color w:val="auto"/>
          <w:sz w:val="24"/>
        </w:rPr>
      </w:pPr>
      <w:r>
        <w:rPr>
          <w:rFonts w:hint="eastAsia" w:ascii="宋体" w:hAnsi="宋体" w:eastAsia="宋体" w:cs="宋体"/>
          <w:bCs/>
          <w:color w:val="auto"/>
          <w:sz w:val="24"/>
        </w:rPr>
        <w:t>★3.1.4 反应腔体采用耐高温 （≥300℃）、耐氟，氢，氧等离子腐蚀材料。</w:t>
      </w:r>
      <w:r>
        <w:rPr>
          <w:rFonts w:hint="eastAsia" w:ascii="宋体" w:hAnsi="宋体" w:eastAsia="宋体" w:cs="宋体"/>
          <w:color w:val="auto"/>
          <w:kern w:val="0"/>
          <w:sz w:val="24"/>
        </w:rPr>
        <w:t xml:space="preserve"> </w:t>
      </w:r>
    </w:p>
    <w:p w14:paraId="6690BB75">
      <w:pPr>
        <w:spacing w:line="360" w:lineRule="auto"/>
        <w:rPr>
          <w:rFonts w:hint="eastAsia" w:ascii="宋体" w:hAnsi="宋体" w:eastAsia="宋体" w:cs="宋体"/>
          <w:color w:val="auto"/>
          <w:sz w:val="24"/>
        </w:rPr>
      </w:pPr>
      <w:r>
        <w:rPr>
          <w:rFonts w:hint="eastAsia" w:ascii="宋体" w:hAnsi="宋体" w:eastAsia="宋体" w:cs="宋体"/>
          <w:bCs/>
          <w:color w:val="auto"/>
          <w:sz w:val="24"/>
        </w:rPr>
        <w:t>▲3.1.5 每个反应腔应具有</w:t>
      </w:r>
      <w:r>
        <w:rPr>
          <w:rFonts w:hint="eastAsia" w:ascii="宋体" w:hAnsi="宋体" w:eastAsia="宋体" w:cs="宋体"/>
          <w:color w:val="auto"/>
          <w:sz w:val="24"/>
        </w:rPr>
        <w:t>双片位结构，可同时进行2片晶圆干法去胶工艺。</w:t>
      </w:r>
      <w:r>
        <w:rPr>
          <w:rFonts w:hint="eastAsia" w:ascii="宋体" w:hAnsi="宋体" w:eastAsia="宋体" w:cs="宋体"/>
          <w:color w:val="auto"/>
          <w:kern w:val="0"/>
          <w:sz w:val="24"/>
        </w:rPr>
        <w:t>(需要提供公开发布的产品彩页或生产厂家出具的技术证明文件)</w:t>
      </w:r>
    </w:p>
    <w:p w14:paraId="13BEF0E2">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3.2 反应腔室：</w:t>
      </w:r>
    </w:p>
    <w:p w14:paraId="5CE196E6">
      <w:pPr>
        <w:spacing w:line="360" w:lineRule="auto"/>
        <w:rPr>
          <w:rFonts w:hint="eastAsia" w:ascii="宋体" w:hAnsi="宋体" w:eastAsia="宋体" w:cs="宋体"/>
          <w:color w:val="auto"/>
          <w:sz w:val="24"/>
        </w:rPr>
      </w:pPr>
      <w:r>
        <w:rPr>
          <w:rFonts w:hint="eastAsia" w:ascii="宋体" w:hAnsi="宋体" w:eastAsia="宋体" w:cs="宋体"/>
          <w:color w:val="auto"/>
          <w:sz w:val="24"/>
        </w:rPr>
        <w:t>★3.2.1 反应腔具备表面活化及表面离子处理能力，可以完全去除胶层，加热盘最高工艺温度：≥300</w:t>
      </w:r>
      <w:r>
        <w:rPr>
          <w:rFonts w:hint="eastAsia" w:ascii="宋体" w:hAnsi="宋体" w:eastAsia="宋体" w:cs="宋体"/>
          <w:color w:val="auto"/>
          <w:sz w:val="24"/>
          <w:vertAlign w:val="superscript"/>
        </w:rPr>
        <w:t>o</w:t>
      </w:r>
      <w:r>
        <w:rPr>
          <w:rFonts w:hint="eastAsia" w:ascii="宋体" w:hAnsi="宋体" w:eastAsia="宋体" w:cs="宋体"/>
          <w:color w:val="auto"/>
          <w:sz w:val="24"/>
        </w:rPr>
        <w:t>C。</w:t>
      </w:r>
      <w:r>
        <w:rPr>
          <w:rFonts w:hint="eastAsia" w:ascii="宋体" w:hAnsi="宋体" w:eastAsia="宋体" w:cs="宋体"/>
          <w:color w:val="auto"/>
          <w:kern w:val="0"/>
          <w:sz w:val="24"/>
        </w:rPr>
        <w:t xml:space="preserve"> </w:t>
      </w:r>
    </w:p>
    <w:p w14:paraId="5F579012">
      <w:pPr>
        <w:spacing w:line="360" w:lineRule="auto"/>
        <w:rPr>
          <w:rFonts w:hint="eastAsia" w:ascii="宋体" w:hAnsi="宋体" w:eastAsia="宋体" w:cs="宋体"/>
          <w:color w:val="auto"/>
          <w:sz w:val="24"/>
        </w:rPr>
      </w:pPr>
      <w:r>
        <w:rPr>
          <w:rFonts w:hint="eastAsia" w:ascii="宋体" w:hAnsi="宋体" w:eastAsia="宋体" w:cs="宋体"/>
          <w:color w:val="auto"/>
          <w:sz w:val="24"/>
        </w:rPr>
        <w:t>★3.2.2 温度控制要求：加热方式为下电极Chuck heater加热，加热能力≥300°C，控温精度达到±1°C。</w:t>
      </w:r>
      <w:r>
        <w:rPr>
          <w:rFonts w:hint="eastAsia" w:ascii="宋体" w:hAnsi="宋体" w:eastAsia="宋体" w:cs="宋体"/>
          <w:color w:val="auto"/>
          <w:kern w:val="0"/>
          <w:sz w:val="24"/>
        </w:rPr>
        <w:t xml:space="preserve"> </w:t>
      </w:r>
    </w:p>
    <w:p w14:paraId="17ADF6DE">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 xml:space="preserve">3.2.3 真空系统：具备蝶阀或摆阀，工艺压力可控；配置压力计，压力计量程0-10torr  </w:t>
      </w:r>
    </w:p>
    <w:p w14:paraId="1F55A99E">
      <w:pPr>
        <w:spacing w:line="360" w:lineRule="auto"/>
        <w:rPr>
          <w:rFonts w:hint="eastAsia" w:ascii="宋体" w:hAnsi="宋体" w:eastAsia="宋体" w:cs="宋体"/>
          <w:color w:val="auto"/>
          <w:sz w:val="24"/>
        </w:rPr>
      </w:pPr>
      <w:r>
        <w:rPr>
          <w:rFonts w:hint="eastAsia" w:ascii="宋体" w:hAnsi="宋体" w:eastAsia="宋体" w:cs="宋体"/>
          <w:bCs/>
          <w:color w:val="auto"/>
          <w:sz w:val="24"/>
        </w:rPr>
        <w:t>▲</w:t>
      </w:r>
      <w:r>
        <w:rPr>
          <w:rFonts w:hint="eastAsia" w:ascii="宋体" w:hAnsi="宋体" w:eastAsia="宋体" w:cs="宋体"/>
          <w:color w:val="auto"/>
          <w:sz w:val="24"/>
        </w:rPr>
        <w:t>3.2.4 配置干泵，每个反应腔配置1个和传输平台配置1个。</w:t>
      </w:r>
    </w:p>
    <w:p w14:paraId="7E59EF33">
      <w:pPr>
        <w:spacing w:line="360" w:lineRule="auto"/>
        <w:rPr>
          <w:rFonts w:hint="eastAsia" w:ascii="宋体" w:hAnsi="宋体" w:eastAsia="宋体" w:cs="宋体"/>
          <w:color w:val="auto"/>
          <w:sz w:val="24"/>
        </w:rPr>
      </w:pPr>
      <w:r>
        <w:rPr>
          <w:rFonts w:hint="eastAsia" w:ascii="宋体" w:hAnsi="宋体" w:eastAsia="宋体" w:cs="宋体"/>
          <w:color w:val="auto"/>
          <w:sz w:val="24"/>
        </w:rPr>
        <w:t>★3.2.5 等离子体生成源：Source RF generator（射频电源）或MicroWave（微波电源），功率最大≥3KW，5%至95%量程内，实际值应在设定值的±3%范围内波动；工艺过程中射频功率的反射功率维持在≤5%。</w:t>
      </w:r>
      <w:r>
        <w:rPr>
          <w:rFonts w:hint="eastAsia" w:ascii="宋体" w:hAnsi="宋体" w:eastAsia="宋体" w:cs="宋体"/>
          <w:color w:val="auto"/>
          <w:kern w:val="0"/>
          <w:sz w:val="24"/>
        </w:rPr>
        <w:t xml:space="preserve"> </w:t>
      </w:r>
    </w:p>
    <w:p w14:paraId="3DBDE989">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3.2.6 气路数量：≥5路，包括但不限于O</w:t>
      </w:r>
      <w:r>
        <w:rPr>
          <w:rFonts w:hint="eastAsia" w:ascii="宋体" w:hAnsi="宋体" w:eastAsia="宋体" w:cs="宋体"/>
          <w:color w:val="auto"/>
          <w:sz w:val="24"/>
          <w:vertAlign w:val="subscript"/>
        </w:rPr>
        <w:t>2</w:t>
      </w:r>
      <w:r>
        <w:rPr>
          <w:rFonts w:hint="eastAsia" w:ascii="宋体" w:hAnsi="宋体" w:eastAsia="宋体" w:cs="宋体"/>
          <w:color w:val="auto"/>
          <w:sz w:val="24"/>
        </w:rPr>
        <w:t>、N</w:t>
      </w:r>
      <w:r>
        <w:rPr>
          <w:rFonts w:hint="eastAsia" w:ascii="宋体" w:hAnsi="宋体" w:eastAsia="宋体" w:cs="宋体"/>
          <w:color w:val="auto"/>
          <w:sz w:val="24"/>
          <w:vertAlign w:val="subscript"/>
        </w:rPr>
        <w:t>2</w:t>
      </w:r>
      <w:r>
        <w:rPr>
          <w:rFonts w:hint="eastAsia" w:ascii="宋体" w:hAnsi="宋体" w:eastAsia="宋体" w:cs="宋体"/>
          <w:color w:val="auto"/>
          <w:sz w:val="24"/>
        </w:rPr>
        <w:t>、CF</w:t>
      </w:r>
      <w:r>
        <w:rPr>
          <w:rFonts w:hint="eastAsia" w:ascii="宋体" w:hAnsi="宋体" w:eastAsia="宋体" w:cs="宋体"/>
          <w:color w:val="auto"/>
          <w:sz w:val="24"/>
          <w:vertAlign w:val="subscript"/>
        </w:rPr>
        <w:t>4</w:t>
      </w:r>
      <w:r>
        <w:rPr>
          <w:rFonts w:hint="eastAsia" w:ascii="宋体" w:hAnsi="宋体" w:eastAsia="宋体" w:cs="宋体"/>
          <w:color w:val="auto"/>
          <w:sz w:val="24"/>
        </w:rPr>
        <w:t>、H</w:t>
      </w:r>
      <w:r>
        <w:rPr>
          <w:rFonts w:hint="eastAsia" w:ascii="宋体" w:hAnsi="宋体" w:eastAsia="宋体" w:cs="宋体"/>
          <w:color w:val="auto"/>
          <w:sz w:val="24"/>
          <w:vertAlign w:val="subscript"/>
        </w:rPr>
        <w:t>2</w:t>
      </w:r>
      <w:r>
        <w:rPr>
          <w:rFonts w:hint="eastAsia" w:ascii="宋体" w:hAnsi="宋体" w:eastAsia="宋体" w:cs="宋体"/>
          <w:color w:val="auto"/>
          <w:sz w:val="24"/>
        </w:rPr>
        <w:t>、4%H</w:t>
      </w:r>
      <w:r>
        <w:rPr>
          <w:rFonts w:hint="eastAsia" w:ascii="宋体" w:hAnsi="宋体" w:eastAsia="宋体" w:cs="宋体"/>
          <w:color w:val="auto"/>
          <w:sz w:val="24"/>
          <w:vertAlign w:val="subscript"/>
        </w:rPr>
        <w:t>2</w:t>
      </w:r>
      <w:r>
        <w:rPr>
          <w:rFonts w:hint="eastAsia" w:ascii="宋体" w:hAnsi="宋体" w:eastAsia="宋体" w:cs="宋体"/>
          <w:color w:val="auto"/>
          <w:sz w:val="24"/>
        </w:rPr>
        <w:t>/96%N</w:t>
      </w:r>
      <w:r>
        <w:rPr>
          <w:rFonts w:hint="eastAsia" w:ascii="宋体" w:hAnsi="宋体" w:eastAsia="宋体" w:cs="宋体"/>
          <w:color w:val="auto"/>
          <w:sz w:val="24"/>
          <w:vertAlign w:val="subscript"/>
        </w:rPr>
        <w:t>2</w:t>
      </w:r>
      <w:r>
        <w:rPr>
          <w:rFonts w:hint="eastAsia" w:ascii="宋体" w:hAnsi="宋体" w:eastAsia="宋体" w:cs="宋体"/>
          <w:color w:val="auto"/>
          <w:sz w:val="24"/>
        </w:rPr>
        <w:t>混合气体。</w:t>
      </w:r>
      <w:r>
        <w:rPr>
          <w:rFonts w:hint="eastAsia" w:ascii="宋体" w:hAnsi="宋体" w:eastAsia="宋体" w:cs="宋体"/>
          <w:color w:val="auto"/>
          <w:kern w:val="0"/>
          <w:sz w:val="24"/>
        </w:rPr>
        <w:t xml:space="preserve"> </w:t>
      </w:r>
    </w:p>
    <w:p w14:paraId="54700549">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3.2.7 MFC控制要求：MFC量程满足管路工艺气体流量需求，在5%至95%量程内，实际值应在设定值的±3%范围内波动。</w:t>
      </w:r>
    </w:p>
    <w:p w14:paraId="69B79B5E">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3.2.8 工艺终点检测功能：具备OES系统，光学波段侦测范围应达到200~800nm。</w:t>
      </w:r>
    </w:p>
    <w:p w14:paraId="51623205">
      <w:pPr>
        <w:spacing w:line="360" w:lineRule="auto"/>
        <w:rPr>
          <w:rFonts w:hint="eastAsia" w:ascii="宋体" w:hAnsi="宋体" w:eastAsia="宋体" w:cs="宋体"/>
          <w:color w:val="auto"/>
          <w:sz w:val="24"/>
        </w:rPr>
      </w:pPr>
      <w:r>
        <w:rPr>
          <w:rFonts w:hint="eastAsia" w:ascii="宋体" w:hAnsi="宋体" w:eastAsia="宋体" w:cs="宋体"/>
          <w:color w:val="auto"/>
          <w:sz w:val="24"/>
        </w:rPr>
        <w:t>▲3.2.9 腔室壁具备控温功能。</w:t>
      </w:r>
    </w:p>
    <w:p w14:paraId="71A84ACD">
      <w:pPr>
        <w:pStyle w:val="10"/>
        <w:spacing w:after="0" w:line="360" w:lineRule="auto"/>
        <w:ind w:left="0" w:leftChars="0" w:firstLine="0" w:firstLineChars="0"/>
        <w:rPr>
          <w:rFonts w:hint="eastAsia" w:ascii="宋体" w:hAnsi="宋体" w:eastAsia="宋体" w:cs="宋体"/>
          <w:color w:val="auto"/>
          <w:sz w:val="24"/>
        </w:rPr>
      </w:pPr>
      <w:r>
        <w:rPr>
          <w:rFonts w:hint="eastAsia" w:ascii="宋体" w:hAnsi="宋体" w:eastAsia="宋体" w:cs="宋体"/>
          <w:color w:val="auto"/>
          <w:sz w:val="24"/>
        </w:rPr>
        <w:t>3.3 设备配置需求</w:t>
      </w:r>
    </w:p>
    <w:p w14:paraId="428D22CB">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3.3.1设备前端模块（EFEM）：</w:t>
      </w:r>
    </w:p>
    <w:p w14:paraId="443F8391">
      <w:pPr>
        <w:pStyle w:val="10"/>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3.3.1.1 为全自动设备，EFEM具备RFID,Barcode，E84接口，支持SECS/GEM300通讯。</w:t>
      </w:r>
    </w:p>
    <w:p w14:paraId="0CE49823">
      <w:pPr>
        <w:pStyle w:val="10"/>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3.3.1.2 EFEM Loadport数量：≥2个，具备安全光栅装置，具备晶圆放置槽位mapping功能，具备监控识别晶圆斜插、叠片、凸片等异常状况的能力与报警功能。</w:t>
      </w:r>
    </w:p>
    <w:p w14:paraId="6B3C6DDB">
      <w:pPr>
        <w:pStyle w:val="10"/>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3.3.1.3 EFEM具备声光提示功能，具备三色或四色信号塔。</w:t>
      </w:r>
    </w:p>
    <w:p w14:paraId="4005B14D">
      <w:pPr>
        <w:pStyle w:val="10"/>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3.3.1.4 EFEM具备离子发生器，具备去除晶圆表面静电功能。</w:t>
      </w:r>
    </w:p>
    <w:p w14:paraId="17869DD3">
      <w:pPr>
        <w:pStyle w:val="10"/>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3.3.1.5 EFEM内部洁净等级可通过FFU满足Class10需求（≤10ea@0.5μm）。</w:t>
      </w:r>
    </w:p>
    <w:p w14:paraId="223EBE40">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▲3.3.1.6 EFEM具有FFU。</w:t>
      </w:r>
    </w:p>
    <w:p w14:paraId="6DF977C2">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3.3.2设备传送模块（TM）：具备1套，包含TM（传送模块）， cooling stage（冷却单元），loadlock（大气真空过渡腔）等单元。</w:t>
      </w:r>
    </w:p>
    <w:p w14:paraId="2B00B287">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3.3.3设备工艺模块（PM）：与腔体数量相同，每个模块基本配置相同，相互独立，不得交叉污染，且可在软件中仅设定使用哪一个Chamber。</w:t>
      </w:r>
    </w:p>
    <w:p w14:paraId="1B496C35">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3.3.4气柜（Gas Box）：每个腔体配备1个气柜，包括但不限于O</w:t>
      </w:r>
      <w:r>
        <w:rPr>
          <w:rFonts w:hint="eastAsia" w:ascii="宋体" w:hAnsi="宋体" w:eastAsia="宋体" w:cs="宋体"/>
          <w:color w:val="auto"/>
          <w:sz w:val="24"/>
          <w:vertAlign w:val="subscript"/>
        </w:rPr>
        <w:t>2</w:t>
      </w:r>
      <w:r>
        <w:rPr>
          <w:rFonts w:hint="eastAsia" w:ascii="宋体" w:hAnsi="宋体" w:eastAsia="宋体" w:cs="宋体"/>
          <w:color w:val="auto"/>
          <w:sz w:val="24"/>
        </w:rPr>
        <w:t>、N</w:t>
      </w:r>
      <w:r>
        <w:rPr>
          <w:rFonts w:hint="eastAsia" w:ascii="宋体" w:hAnsi="宋体" w:eastAsia="宋体" w:cs="宋体"/>
          <w:color w:val="auto"/>
          <w:sz w:val="24"/>
          <w:vertAlign w:val="subscript"/>
        </w:rPr>
        <w:t>2</w:t>
      </w:r>
      <w:r>
        <w:rPr>
          <w:rFonts w:hint="eastAsia" w:ascii="宋体" w:hAnsi="宋体" w:eastAsia="宋体" w:cs="宋体"/>
          <w:color w:val="auto"/>
          <w:sz w:val="24"/>
        </w:rPr>
        <w:t>、CF</w:t>
      </w:r>
      <w:r>
        <w:rPr>
          <w:rFonts w:hint="eastAsia" w:ascii="宋体" w:hAnsi="宋体" w:eastAsia="宋体" w:cs="宋体"/>
          <w:color w:val="auto"/>
          <w:sz w:val="24"/>
          <w:vertAlign w:val="subscript"/>
        </w:rPr>
        <w:t>4</w:t>
      </w:r>
      <w:r>
        <w:rPr>
          <w:rFonts w:hint="eastAsia" w:ascii="宋体" w:hAnsi="宋体" w:eastAsia="宋体" w:cs="宋体"/>
          <w:color w:val="auto"/>
          <w:sz w:val="24"/>
        </w:rPr>
        <w:t>、H</w:t>
      </w:r>
      <w:r>
        <w:rPr>
          <w:rFonts w:hint="eastAsia" w:ascii="宋体" w:hAnsi="宋体" w:eastAsia="宋体" w:cs="宋体"/>
          <w:color w:val="auto"/>
          <w:sz w:val="24"/>
          <w:vertAlign w:val="subscript"/>
        </w:rPr>
        <w:t>2</w:t>
      </w:r>
      <w:r>
        <w:rPr>
          <w:rFonts w:hint="eastAsia" w:ascii="宋体" w:hAnsi="宋体" w:eastAsia="宋体" w:cs="宋体"/>
          <w:color w:val="auto"/>
          <w:sz w:val="24"/>
        </w:rPr>
        <w:t>、4%H</w:t>
      </w:r>
      <w:r>
        <w:rPr>
          <w:rFonts w:hint="eastAsia" w:ascii="宋体" w:hAnsi="宋体" w:eastAsia="宋体" w:cs="宋体"/>
          <w:color w:val="auto"/>
          <w:sz w:val="24"/>
          <w:vertAlign w:val="subscript"/>
        </w:rPr>
        <w:t>2</w:t>
      </w:r>
      <w:r>
        <w:rPr>
          <w:rFonts w:hint="eastAsia" w:ascii="宋体" w:hAnsi="宋体" w:eastAsia="宋体" w:cs="宋体"/>
          <w:color w:val="auto"/>
          <w:sz w:val="24"/>
        </w:rPr>
        <w:t>/96%N</w:t>
      </w:r>
      <w:r>
        <w:rPr>
          <w:rFonts w:hint="eastAsia" w:ascii="宋体" w:hAnsi="宋体" w:eastAsia="宋体" w:cs="宋体"/>
          <w:color w:val="auto"/>
          <w:sz w:val="24"/>
          <w:vertAlign w:val="subscript"/>
        </w:rPr>
        <w:t>2</w:t>
      </w:r>
      <w:r>
        <w:rPr>
          <w:rFonts w:hint="eastAsia" w:ascii="宋体" w:hAnsi="宋体" w:eastAsia="宋体" w:cs="宋体"/>
          <w:color w:val="auto"/>
          <w:sz w:val="24"/>
        </w:rPr>
        <w:t>混合气体。</w:t>
      </w:r>
    </w:p>
    <w:p w14:paraId="71DED15B">
      <w:pPr>
        <w:pStyle w:val="10"/>
        <w:spacing w:after="0" w:line="360" w:lineRule="auto"/>
        <w:ind w:left="0" w:leftChars="0" w:firstLine="240" w:firstLineChars="100"/>
        <w:rPr>
          <w:rFonts w:hint="eastAsia" w:ascii="宋体" w:hAnsi="宋体" w:eastAsia="宋体" w:cs="宋体"/>
          <w:color w:val="auto"/>
          <w:sz w:val="24"/>
        </w:rPr>
      </w:pPr>
      <w:r>
        <w:rPr>
          <w:rFonts w:hint="eastAsia" w:ascii="宋体" w:hAnsi="宋体" w:eastAsia="宋体" w:cs="宋体"/>
          <w:color w:val="auto"/>
          <w:sz w:val="24"/>
        </w:rPr>
        <w:t>3.3.5电源柜（AC Rack）：具备1套，支持断电后，机台电脑运行≥15分钟。</w:t>
      </w:r>
    </w:p>
    <w:p w14:paraId="2B406595">
      <w:pPr>
        <w:spacing w:line="360" w:lineRule="auto"/>
        <w:rPr>
          <w:rFonts w:hint="eastAsia" w:ascii="宋体" w:hAnsi="宋体" w:eastAsia="宋体" w:cs="宋体"/>
          <w:color w:val="auto"/>
          <w:sz w:val="24"/>
        </w:rPr>
      </w:pPr>
      <w:r>
        <w:rPr>
          <w:rFonts w:hint="eastAsia" w:ascii="宋体" w:hAnsi="宋体" w:eastAsia="宋体" w:cs="宋体"/>
          <w:color w:val="auto"/>
          <w:sz w:val="24"/>
        </w:rPr>
        <w:t>3.4 设备性能</w:t>
      </w:r>
    </w:p>
    <w:p w14:paraId="62EA8A66">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color w:val="auto"/>
          <w:sz w:val="24"/>
        </w:rPr>
        <w:t>3.4.1</w:t>
      </w:r>
      <w:r>
        <w:rPr>
          <w:rFonts w:hint="eastAsia" w:ascii="宋体" w:hAnsi="宋体" w:eastAsia="宋体" w:cs="宋体"/>
          <w:bCs/>
          <w:color w:val="auto"/>
          <w:sz w:val="24"/>
        </w:rPr>
        <w:t>设备性能关键指标需求：</w:t>
      </w:r>
    </w:p>
    <w:p w14:paraId="45E93688">
      <w:pPr>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sz w:val="24"/>
        </w:rPr>
        <w:t>★3.4.1.1 颗粒增加数量：≤10ea@0.045μm。(采用硅衬底检测，工艺后颗粒值-工艺前颗粒值，参考工艺条件：RF＞2KW,O</w:t>
      </w:r>
      <w:r>
        <w:rPr>
          <w:rFonts w:hint="eastAsia" w:ascii="宋体" w:hAnsi="宋体" w:eastAsia="宋体" w:cs="宋体"/>
          <w:color w:val="auto"/>
          <w:sz w:val="24"/>
          <w:vertAlign w:val="subscript"/>
        </w:rPr>
        <w:t>2</w:t>
      </w:r>
      <w:r>
        <w:rPr>
          <w:rFonts w:hint="eastAsia" w:ascii="宋体" w:hAnsi="宋体" w:eastAsia="宋体" w:cs="宋体"/>
          <w:color w:val="auto"/>
          <w:sz w:val="24"/>
        </w:rPr>
        <w:t>工艺，60s)</w:t>
      </w:r>
      <w:r>
        <w:rPr>
          <w:rFonts w:hint="eastAsia" w:ascii="宋体" w:hAnsi="宋体" w:eastAsia="宋体" w:cs="宋体"/>
          <w:color w:val="auto"/>
          <w:kern w:val="0"/>
          <w:sz w:val="24"/>
        </w:rPr>
        <w:t xml:space="preserve"> </w:t>
      </w:r>
    </w:p>
    <w:p w14:paraId="01D6071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3.4.1.2 每小时产出WPH：≥85pcs（单腔，工艺时间60秒）。</w:t>
      </w:r>
    </w:p>
    <w:p w14:paraId="24837534">
      <w:pPr>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sz w:val="24"/>
        </w:rPr>
        <w:t>★3.4.1.3 平均可利用时间Uptime：≥90%。</w:t>
      </w:r>
      <w:r>
        <w:rPr>
          <w:rFonts w:hint="eastAsia" w:ascii="宋体" w:hAnsi="宋体" w:eastAsia="宋体" w:cs="宋体"/>
          <w:color w:val="auto"/>
          <w:kern w:val="0"/>
          <w:sz w:val="24"/>
        </w:rPr>
        <w:t xml:space="preserve"> </w:t>
      </w:r>
    </w:p>
    <w:p w14:paraId="22A0A05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3.4.1.4 平均无故障时间MTBF≥250小时。</w:t>
      </w:r>
    </w:p>
    <w:p w14:paraId="2391E7D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3.4.1.5 平均修复时间MTTR：≤4小时。</w:t>
      </w:r>
    </w:p>
    <w:p w14:paraId="2BCEAD7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3.4.1.6 破片率：≤1/10000。</w:t>
      </w:r>
    </w:p>
    <w:p w14:paraId="1D02736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3.4.1.7 平均保养时间MTBC：≥1000RFH。</w:t>
      </w:r>
    </w:p>
    <w:p w14:paraId="1AD1DAB2">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color w:val="auto"/>
          <w:sz w:val="24"/>
        </w:rPr>
        <w:t>3.4.2</w:t>
      </w:r>
      <w:r>
        <w:rPr>
          <w:rFonts w:hint="eastAsia" w:ascii="宋体" w:hAnsi="宋体" w:eastAsia="宋体" w:cs="宋体"/>
          <w:bCs/>
          <w:color w:val="auto"/>
          <w:sz w:val="24"/>
        </w:rPr>
        <w:t>工艺指标需求：</w:t>
      </w:r>
    </w:p>
    <w:p w14:paraId="7D057A36">
      <w:pPr>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sz w:val="24"/>
        </w:rPr>
        <w:t>★3.4.2.1 PR Strip刻蚀速率（O</w:t>
      </w:r>
      <w:r>
        <w:rPr>
          <w:rFonts w:hint="eastAsia" w:ascii="宋体" w:hAnsi="宋体" w:eastAsia="宋体" w:cs="宋体"/>
          <w:color w:val="auto"/>
          <w:sz w:val="24"/>
          <w:vertAlign w:val="subscript"/>
        </w:rPr>
        <w:t xml:space="preserve">2 </w:t>
      </w:r>
      <w:r>
        <w:rPr>
          <w:rFonts w:hint="eastAsia" w:ascii="宋体" w:hAnsi="宋体" w:eastAsia="宋体" w:cs="宋体"/>
          <w:color w:val="auto"/>
          <w:sz w:val="24"/>
        </w:rPr>
        <w:t>Base，275°C）：≥5um/min， Mean value 49pt，边缘去除5mm。</w:t>
      </w:r>
      <w:r>
        <w:rPr>
          <w:rFonts w:hint="eastAsia" w:ascii="宋体" w:hAnsi="宋体" w:eastAsia="宋体" w:cs="宋体"/>
          <w:color w:val="auto"/>
          <w:kern w:val="0"/>
          <w:sz w:val="24"/>
        </w:rPr>
        <w:t xml:space="preserve"> </w:t>
      </w:r>
    </w:p>
    <w:p w14:paraId="4A999769">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★3.4.2.2 PR Strip ER U%刻蚀均匀性（WIW, O</w:t>
      </w:r>
      <w:r>
        <w:rPr>
          <w:rFonts w:hint="eastAsia" w:ascii="宋体" w:hAnsi="宋体" w:eastAsia="宋体" w:cs="宋体"/>
          <w:color w:val="auto"/>
          <w:sz w:val="24"/>
          <w:vertAlign w:val="subscript"/>
        </w:rPr>
        <w:t>2</w:t>
      </w:r>
      <w:r>
        <w:rPr>
          <w:rFonts w:hint="eastAsia" w:ascii="宋体" w:hAnsi="宋体" w:eastAsia="宋体" w:cs="宋体"/>
          <w:color w:val="auto"/>
          <w:sz w:val="24"/>
        </w:rPr>
        <w:t>Base） 49pt：≤7%（Max-Min）/(2*Mean)，边缘去除5mm。</w:t>
      </w:r>
    </w:p>
    <w:p w14:paraId="778EEBC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3.4.2.3 PR Strip ER U%刻蚀均匀性（WTW, O</w:t>
      </w:r>
      <w:r>
        <w:rPr>
          <w:rFonts w:hint="eastAsia" w:ascii="宋体" w:hAnsi="宋体" w:eastAsia="宋体" w:cs="宋体"/>
          <w:color w:val="auto"/>
          <w:sz w:val="24"/>
          <w:vertAlign w:val="subscript"/>
        </w:rPr>
        <w:t>2</w:t>
      </w:r>
      <w:r>
        <w:rPr>
          <w:rFonts w:hint="eastAsia" w:ascii="宋体" w:hAnsi="宋体" w:eastAsia="宋体" w:cs="宋体"/>
          <w:color w:val="auto"/>
          <w:sz w:val="24"/>
        </w:rPr>
        <w:t>Base） 49pt：≤5%（Max-Min）/(2*Mean)，边缘去除5mm。</w:t>
      </w:r>
    </w:p>
    <w:p w14:paraId="761C5D7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3.4.2.4 PR Strip ER U%刻蚀均匀性（Chamber to Chamber, O</w:t>
      </w:r>
      <w:r>
        <w:rPr>
          <w:rFonts w:hint="eastAsia" w:ascii="宋体" w:hAnsi="宋体" w:eastAsia="宋体" w:cs="宋体"/>
          <w:color w:val="auto"/>
          <w:sz w:val="24"/>
          <w:vertAlign w:val="subscript"/>
        </w:rPr>
        <w:t>2</w:t>
      </w:r>
      <w:r>
        <w:rPr>
          <w:rFonts w:hint="eastAsia" w:ascii="宋体" w:hAnsi="宋体" w:eastAsia="宋体" w:cs="宋体"/>
          <w:color w:val="auto"/>
          <w:sz w:val="24"/>
        </w:rPr>
        <w:t>Base） 49pt：≤5%（Max-Min）/(2*Mean)，边缘去除5mm。</w:t>
      </w:r>
    </w:p>
    <w:p w14:paraId="72F0072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3.4.2.5 可支持晶圆翘曲度：≤±500um。</w:t>
      </w:r>
    </w:p>
    <w:p w14:paraId="260A5E2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3.4.2.6 可支持晶圆厚度：400um-900um。</w:t>
      </w:r>
    </w:p>
    <w:p w14:paraId="2CE475BB">
      <w:pPr>
        <w:pStyle w:val="2"/>
        <w:spacing w:after="0" w:line="360" w:lineRule="auto"/>
        <w:ind w:left="0" w:leftChars="0" w:firstLine="480"/>
        <w:rPr>
          <w:rFonts w:hint="eastAsia" w:ascii="宋体" w:hAnsi="宋体" w:eastAsia="宋体" w:cs="宋体"/>
          <w:color w:val="auto"/>
          <w:sz w:val="24"/>
        </w:rPr>
      </w:pPr>
      <w:r>
        <w:rPr>
          <w:rFonts w:hint="eastAsia" w:ascii="宋体" w:hAnsi="宋体" w:eastAsia="宋体" w:cs="宋体"/>
          <w:color w:val="auto"/>
          <w:sz w:val="24"/>
        </w:rPr>
        <w:t>3.4.2.7 具备晶圆与加热盘贴合状态检测功能</w:t>
      </w:r>
    </w:p>
    <w:p w14:paraId="20662A37">
      <w:pPr>
        <w:spacing w:line="360" w:lineRule="auto"/>
        <w:rPr>
          <w:rFonts w:hint="eastAsia" w:ascii="宋体" w:hAnsi="宋体" w:eastAsia="宋体" w:cs="宋体"/>
          <w:color w:val="auto"/>
          <w:sz w:val="24"/>
        </w:rPr>
      </w:pPr>
      <w:bookmarkStart w:id="0" w:name="OLE_LINK4"/>
      <w:r>
        <w:rPr>
          <w:rFonts w:hint="eastAsia" w:ascii="宋体" w:hAnsi="宋体" w:eastAsia="宋体" w:cs="宋体"/>
          <w:color w:val="auto"/>
          <w:sz w:val="24"/>
        </w:rPr>
        <w:t>★</w:t>
      </w:r>
      <w:r>
        <w:rPr>
          <w:rFonts w:hint="eastAsia" w:ascii="宋体" w:hAnsi="宋体" w:eastAsia="宋体" w:cs="宋体"/>
          <w:bCs/>
          <w:color w:val="auto"/>
          <w:sz w:val="24"/>
        </w:rPr>
        <w:t>3.5软件控制系统</w:t>
      </w:r>
      <w:r>
        <w:rPr>
          <w:rFonts w:hint="eastAsia" w:ascii="宋体" w:hAnsi="宋体" w:eastAsia="宋体" w:cs="宋体"/>
          <w:color w:val="auto"/>
          <w:kern w:val="0"/>
          <w:sz w:val="24"/>
        </w:rPr>
        <w:t xml:space="preserve"> </w:t>
      </w:r>
    </w:p>
    <w:bookmarkEnd w:id="0"/>
    <w:p w14:paraId="3EE9CCDA">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3.5.1 软件能实时监控设备状态，有日志记录（日志记录频次≦1s/次），报警等功能。</w:t>
      </w:r>
    </w:p>
    <w:p w14:paraId="407A4E00">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3.5.2 软件界面可实现快速、方便的工艺开发和菜单生成。系统可以处于自动（Auto）和手动（Manual）模式，Manual模式下所有部件可直接操作和设置，在Auto模式下，通过菜单自动执行预先设置的顺序步骤。</w:t>
      </w:r>
    </w:p>
    <w:p w14:paraId="3943D7C0">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3.5.3 使用Windows平台对温度、流量、阀门、压力等进行自动控制，并管理全部工艺时序。</w:t>
      </w:r>
    </w:p>
    <w:p w14:paraId="5C2836E1">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3.5.4 控制软件可实现2个腔体同时或自动连续作业。</w:t>
      </w:r>
    </w:p>
    <w:p w14:paraId="77D82B3E">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3.5.5 控制软件可实现25片自动调用25个不同工艺菜单连续作业。</w:t>
      </w:r>
    </w:p>
    <w:p w14:paraId="47BBAD46">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3.5.6 可保存工艺菜单≧1000条。</w:t>
      </w:r>
    </w:p>
    <w:p w14:paraId="3853712C">
      <w:pPr>
        <w:spacing w:line="360" w:lineRule="auto"/>
        <w:ind w:firstLine="240" w:firstLineChars="100"/>
        <w:rPr>
          <w:rFonts w:hint="eastAsia" w:ascii="宋体" w:hAnsi="宋体" w:eastAsia="宋体" w:cs="宋体"/>
          <w:bCs/>
          <w:color w:val="auto"/>
          <w:sz w:val="24"/>
        </w:rPr>
      </w:pPr>
      <w:r>
        <w:rPr>
          <w:rFonts w:hint="eastAsia" w:ascii="宋体" w:hAnsi="宋体" w:eastAsia="宋体" w:cs="宋体"/>
          <w:bCs/>
          <w:color w:val="auto"/>
          <w:sz w:val="24"/>
        </w:rPr>
        <w:t xml:space="preserve">3.5.7  </w:t>
      </w:r>
      <w:bookmarkStart w:id="1" w:name="OLE_LINK6"/>
      <w:r>
        <w:rPr>
          <w:rFonts w:hint="eastAsia" w:ascii="宋体" w:hAnsi="宋体" w:eastAsia="宋体" w:cs="宋体"/>
          <w:bCs/>
          <w:color w:val="auto"/>
          <w:sz w:val="24"/>
        </w:rPr>
        <w:t>自动化设</w:t>
      </w:r>
      <w:bookmarkEnd w:id="1"/>
      <w:r>
        <w:rPr>
          <w:rFonts w:hint="eastAsia" w:ascii="宋体" w:hAnsi="宋体" w:eastAsia="宋体" w:cs="宋体"/>
          <w:bCs/>
          <w:color w:val="auto"/>
          <w:sz w:val="24"/>
        </w:rPr>
        <w:t>备通讯协议要求：供应商应提供本设备标准SECS/GEM通讯及通讯手册，包括但不限于：GEM200、GEM300</w:t>
      </w:r>
    </w:p>
    <w:p w14:paraId="6DDA70EC">
      <w:pPr>
        <w:rPr>
          <w:rFonts w:hint="eastAsia" w:ascii="Times New Roman" w:hAnsi="Times New Roman" w:eastAsia="宋体" w:cs="Times New Roman"/>
          <w:color w:val="auto"/>
        </w:rPr>
      </w:pPr>
    </w:p>
    <w:p w14:paraId="54CFFF8D">
      <w:pPr>
        <w:widowControl/>
        <w:snapToGrid w:val="0"/>
        <w:spacing w:before="156" w:beforeLines="50" w:line="360" w:lineRule="auto"/>
        <w:rPr>
          <w:rFonts w:ascii="Times New Roman" w:hAnsi="Times New Roman" w:eastAsia="宋体" w:cs="Times New Roman"/>
          <w:b/>
          <w:color w:val="auto"/>
          <w:sz w:val="24"/>
        </w:rPr>
      </w:pPr>
      <w:r>
        <w:rPr>
          <w:rFonts w:hint="eastAsia" w:ascii="宋体" w:hAnsi="宋体" w:eastAsia="宋体" w:cs="宋体"/>
          <w:color w:val="auto"/>
          <w:sz w:val="24"/>
        </w:rPr>
        <w:t>★</w:t>
      </w:r>
      <w:r>
        <w:rPr>
          <w:rFonts w:ascii="Times New Roman" w:hAnsi="Times New Roman" w:eastAsia="宋体" w:cs="Times New Roman"/>
          <w:b/>
          <w:color w:val="auto"/>
          <w:sz w:val="24"/>
        </w:rPr>
        <w:t>4、配置清单及零配件（包括专用工具）：</w:t>
      </w:r>
    </w:p>
    <w:tbl>
      <w:tblPr>
        <w:tblStyle w:val="6"/>
        <w:tblW w:w="9067" w:type="dxa"/>
        <w:jc w:val="center"/>
        <w:tblLayout w:type="fixed"/>
        <w:tblCellMar>
          <w:top w:w="0" w:type="dxa"/>
          <w:left w:w="108" w:type="dxa"/>
          <w:bottom w:w="0" w:type="dxa"/>
          <w:right w:w="108" w:type="dxa"/>
        </w:tblCellMar>
      </w:tblPr>
      <w:tblGrid>
        <w:gridCol w:w="950"/>
        <w:gridCol w:w="5173"/>
        <w:gridCol w:w="1414"/>
        <w:gridCol w:w="1530"/>
      </w:tblGrid>
      <w:tr w14:paraId="6A02DD35">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1697290E">
            <w:pPr>
              <w:widowControl/>
              <w:snapToGrid w:val="0"/>
              <w:spacing w:before="156" w:beforeLines="50" w:line="360" w:lineRule="auto"/>
              <w:jc w:val="center"/>
              <w:rPr>
                <w:rFonts w:ascii="Times New Roman" w:hAnsi="Times New Roman" w:eastAsia="宋体" w:cs="Times New Roman"/>
                <w:b/>
                <w:bCs/>
                <w:color w:val="auto"/>
                <w:sz w:val="24"/>
              </w:rPr>
            </w:pPr>
            <w:r>
              <w:rPr>
                <w:rFonts w:ascii="Times New Roman" w:hAnsi="Times New Roman" w:eastAsia="宋体" w:cs="Times New Roman"/>
                <w:b/>
                <w:bCs/>
                <w:color w:val="auto"/>
                <w:sz w:val="24"/>
              </w:rPr>
              <w:t>序号</w:t>
            </w:r>
          </w:p>
        </w:tc>
        <w:tc>
          <w:tcPr>
            <w:tcW w:w="5173" w:type="dxa"/>
            <w:tcBorders>
              <w:top w:val="single" w:color="auto" w:sz="4" w:space="0"/>
              <w:left w:val="nil"/>
              <w:bottom w:val="single" w:color="auto" w:sz="4" w:space="0"/>
              <w:right w:val="single" w:color="auto" w:sz="4" w:space="0"/>
            </w:tcBorders>
            <w:noWrap/>
            <w:vAlign w:val="center"/>
          </w:tcPr>
          <w:p w14:paraId="3D770E01">
            <w:pPr>
              <w:widowControl/>
              <w:snapToGrid w:val="0"/>
              <w:spacing w:before="156" w:beforeLines="50" w:line="360" w:lineRule="auto"/>
              <w:jc w:val="center"/>
              <w:rPr>
                <w:rFonts w:ascii="Times New Roman" w:hAnsi="Times New Roman" w:eastAsia="宋体" w:cs="Times New Roman"/>
                <w:b/>
                <w:bCs/>
                <w:color w:val="auto"/>
                <w:sz w:val="24"/>
              </w:rPr>
            </w:pPr>
            <w:r>
              <w:rPr>
                <w:rFonts w:ascii="Times New Roman" w:hAnsi="Times New Roman" w:eastAsia="宋体" w:cs="Times New Roman"/>
                <w:b/>
                <w:bCs/>
                <w:color w:val="auto"/>
                <w:sz w:val="24"/>
              </w:rPr>
              <w:t>名称</w:t>
            </w:r>
          </w:p>
        </w:tc>
        <w:tc>
          <w:tcPr>
            <w:tcW w:w="1414" w:type="dxa"/>
            <w:tcBorders>
              <w:top w:val="single" w:color="auto" w:sz="4" w:space="0"/>
              <w:left w:val="nil"/>
              <w:bottom w:val="single" w:color="auto" w:sz="4" w:space="0"/>
              <w:right w:val="single" w:color="auto" w:sz="4" w:space="0"/>
            </w:tcBorders>
            <w:noWrap/>
            <w:vAlign w:val="center"/>
          </w:tcPr>
          <w:p w14:paraId="6FFDF400">
            <w:pPr>
              <w:widowControl/>
              <w:snapToGrid w:val="0"/>
              <w:spacing w:before="156" w:beforeLines="50" w:line="360" w:lineRule="auto"/>
              <w:jc w:val="center"/>
              <w:rPr>
                <w:rFonts w:ascii="Times New Roman" w:hAnsi="Times New Roman" w:eastAsia="宋体" w:cs="Times New Roman"/>
                <w:b/>
                <w:bCs/>
                <w:color w:val="auto"/>
                <w:sz w:val="24"/>
              </w:rPr>
            </w:pPr>
            <w:r>
              <w:rPr>
                <w:rFonts w:ascii="Times New Roman" w:hAnsi="Times New Roman" w:eastAsia="宋体" w:cs="Times New Roman"/>
                <w:b/>
                <w:bCs/>
                <w:color w:val="auto"/>
                <w:sz w:val="24"/>
              </w:rPr>
              <w:t>单位</w:t>
            </w:r>
          </w:p>
        </w:tc>
        <w:tc>
          <w:tcPr>
            <w:tcW w:w="1530" w:type="dxa"/>
            <w:tcBorders>
              <w:top w:val="single" w:color="auto" w:sz="4" w:space="0"/>
              <w:left w:val="nil"/>
              <w:bottom w:val="single" w:color="auto" w:sz="4" w:space="0"/>
              <w:right w:val="single" w:color="auto" w:sz="4" w:space="0"/>
            </w:tcBorders>
            <w:noWrap/>
            <w:vAlign w:val="center"/>
          </w:tcPr>
          <w:p w14:paraId="2900FD33">
            <w:pPr>
              <w:widowControl/>
              <w:snapToGrid w:val="0"/>
              <w:spacing w:before="156" w:beforeLines="50" w:line="360" w:lineRule="auto"/>
              <w:jc w:val="center"/>
              <w:rPr>
                <w:rFonts w:ascii="Times New Roman" w:hAnsi="Times New Roman" w:eastAsia="宋体" w:cs="Times New Roman"/>
                <w:b/>
                <w:bCs/>
                <w:color w:val="auto"/>
                <w:sz w:val="24"/>
              </w:rPr>
            </w:pPr>
            <w:r>
              <w:rPr>
                <w:rFonts w:ascii="Times New Roman" w:hAnsi="Times New Roman" w:eastAsia="宋体" w:cs="Times New Roman"/>
                <w:b/>
                <w:bCs/>
                <w:color w:val="auto"/>
                <w:sz w:val="24"/>
              </w:rPr>
              <w:t>数量</w:t>
            </w:r>
          </w:p>
        </w:tc>
      </w:tr>
      <w:tr w14:paraId="7F262DC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2B80F84">
            <w:pPr>
              <w:widowControl/>
              <w:snapToGrid w:val="0"/>
              <w:spacing w:before="156" w:beforeLines="50"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1</w:t>
            </w:r>
          </w:p>
        </w:tc>
        <w:tc>
          <w:tcPr>
            <w:tcW w:w="5173" w:type="dxa"/>
            <w:tcBorders>
              <w:top w:val="single" w:color="auto" w:sz="4" w:space="0"/>
              <w:left w:val="single" w:color="auto" w:sz="4" w:space="0"/>
              <w:bottom w:val="single" w:color="auto" w:sz="4" w:space="0"/>
              <w:right w:val="single" w:color="auto" w:sz="4" w:space="0"/>
            </w:tcBorders>
            <w:noWrap/>
            <w:vAlign w:val="center"/>
          </w:tcPr>
          <w:p w14:paraId="0C7A7A1D">
            <w:pPr>
              <w:widowControl/>
              <w:snapToGrid w:val="0"/>
              <w:spacing w:before="156" w:beforeLines="50" w:line="360" w:lineRule="auto"/>
              <w:rPr>
                <w:rFonts w:hint="eastAsia" w:ascii="宋体" w:hAnsi="宋体" w:eastAsia="宋体" w:cs="宋体"/>
                <w:color w:val="auto"/>
                <w:sz w:val="24"/>
              </w:rPr>
            </w:pPr>
            <w:r>
              <w:rPr>
                <w:rFonts w:hint="eastAsia" w:ascii="Times New Roman" w:hAnsi="Times New Roman" w:eastAsia="宋体" w:cs="Times New Roman"/>
                <w:color w:val="auto"/>
                <w:sz w:val="24"/>
              </w:rPr>
              <w:t xml:space="preserve">控制终端 </w:t>
            </w:r>
          </w:p>
        </w:tc>
        <w:tc>
          <w:tcPr>
            <w:tcW w:w="1414" w:type="dxa"/>
            <w:tcBorders>
              <w:top w:val="single" w:color="auto" w:sz="4" w:space="0"/>
              <w:left w:val="single" w:color="auto" w:sz="4" w:space="0"/>
              <w:bottom w:val="single" w:color="auto" w:sz="4" w:space="0"/>
              <w:right w:val="single" w:color="auto" w:sz="4" w:space="0"/>
            </w:tcBorders>
            <w:noWrap/>
            <w:vAlign w:val="center"/>
          </w:tcPr>
          <w:p w14:paraId="1C9E2A09">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368431C3">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1</w:t>
            </w:r>
          </w:p>
        </w:tc>
      </w:tr>
      <w:tr w14:paraId="31A5A734">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27EAE22D">
            <w:pPr>
              <w:widowControl/>
              <w:snapToGrid w:val="0"/>
              <w:spacing w:before="156" w:beforeLines="50"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2</w:t>
            </w:r>
          </w:p>
        </w:tc>
        <w:tc>
          <w:tcPr>
            <w:tcW w:w="5173" w:type="dxa"/>
            <w:tcBorders>
              <w:top w:val="single" w:color="auto" w:sz="4" w:space="0"/>
              <w:left w:val="single" w:color="auto" w:sz="4" w:space="0"/>
              <w:bottom w:val="single" w:color="auto" w:sz="4" w:space="0"/>
              <w:right w:val="single" w:color="auto" w:sz="4" w:space="0"/>
            </w:tcBorders>
            <w:noWrap/>
            <w:vAlign w:val="center"/>
          </w:tcPr>
          <w:p w14:paraId="4856BC99">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前置样品传送腔（LoadLock）</w:t>
            </w:r>
          </w:p>
        </w:tc>
        <w:tc>
          <w:tcPr>
            <w:tcW w:w="1414" w:type="dxa"/>
            <w:tcBorders>
              <w:top w:val="single" w:color="auto" w:sz="4" w:space="0"/>
              <w:left w:val="single" w:color="auto" w:sz="4" w:space="0"/>
              <w:bottom w:val="single" w:color="auto" w:sz="4" w:space="0"/>
              <w:right w:val="single" w:color="auto" w:sz="4" w:space="0"/>
            </w:tcBorders>
            <w:noWrap/>
            <w:vAlign w:val="center"/>
          </w:tcPr>
          <w:p w14:paraId="28D9B374">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0F0087E7">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2</w:t>
            </w:r>
          </w:p>
        </w:tc>
      </w:tr>
      <w:tr w14:paraId="6455E1A1">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0CA56D0B">
            <w:pPr>
              <w:widowControl/>
              <w:snapToGrid w:val="0"/>
              <w:spacing w:before="156" w:beforeLines="50"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3</w:t>
            </w:r>
          </w:p>
        </w:tc>
        <w:tc>
          <w:tcPr>
            <w:tcW w:w="5173" w:type="dxa"/>
            <w:tcBorders>
              <w:top w:val="single" w:color="auto" w:sz="4" w:space="0"/>
              <w:left w:val="single" w:color="auto" w:sz="4" w:space="0"/>
              <w:bottom w:val="single" w:color="auto" w:sz="4" w:space="0"/>
              <w:right w:val="single" w:color="auto" w:sz="4" w:space="0"/>
            </w:tcBorders>
            <w:noWrap/>
            <w:vAlign w:val="center"/>
          </w:tcPr>
          <w:p w14:paraId="0972FEB1">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真空手臂</w:t>
            </w:r>
          </w:p>
        </w:tc>
        <w:tc>
          <w:tcPr>
            <w:tcW w:w="1414" w:type="dxa"/>
            <w:tcBorders>
              <w:top w:val="single" w:color="auto" w:sz="4" w:space="0"/>
              <w:left w:val="single" w:color="auto" w:sz="4" w:space="0"/>
              <w:bottom w:val="single" w:color="auto" w:sz="4" w:space="0"/>
              <w:right w:val="single" w:color="auto" w:sz="4" w:space="0"/>
            </w:tcBorders>
            <w:noWrap/>
            <w:vAlign w:val="center"/>
          </w:tcPr>
          <w:p w14:paraId="7477B77B">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0EF2DC91">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1</w:t>
            </w:r>
          </w:p>
        </w:tc>
      </w:tr>
      <w:tr w14:paraId="5ED69B6B">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1BDD629D">
            <w:pPr>
              <w:widowControl/>
              <w:snapToGrid w:val="0"/>
              <w:spacing w:before="156" w:beforeLines="50"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4</w:t>
            </w:r>
          </w:p>
        </w:tc>
        <w:tc>
          <w:tcPr>
            <w:tcW w:w="5173" w:type="dxa"/>
            <w:tcBorders>
              <w:top w:val="single" w:color="auto" w:sz="4" w:space="0"/>
              <w:left w:val="single" w:color="auto" w:sz="4" w:space="0"/>
              <w:bottom w:val="single" w:color="auto" w:sz="4" w:space="0"/>
              <w:right w:val="single" w:color="auto" w:sz="4" w:space="0"/>
            </w:tcBorders>
            <w:noWrap/>
            <w:vAlign w:val="center"/>
          </w:tcPr>
          <w:p w14:paraId="798DCB09">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晶圆载入口(LoadPort)</w:t>
            </w:r>
          </w:p>
        </w:tc>
        <w:tc>
          <w:tcPr>
            <w:tcW w:w="1414" w:type="dxa"/>
            <w:tcBorders>
              <w:top w:val="single" w:color="auto" w:sz="4" w:space="0"/>
              <w:left w:val="single" w:color="auto" w:sz="4" w:space="0"/>
              <w:bottom w:val="single" w:color="auto" w:sz="4" w:space="0"/>
              <w:right w:val="single" w:color="auto" w:sz="4" w:space="0"/>
            </w:tcBorders>
            <w:noWrap/>
            <w:vAlign w:val="center"/>
          </w:tcPr>
          <w:p w14:paraId="7A134221">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4EED1205">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3</w:t>
            </w:r>
          </w:p>
        </w:tc>
      </w:tr>
      <w:tr w14:paraId="2D9327CB">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0042A00E">
            <w:pPr>
              <w:widowControl/>
              <w:snapToGrid w:val="0"/>
              <w:spacing w:before="156" w:beforeLines="50"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5</w:t>
            </w:r>
          </w:p>
        </w:tc>
        <w:tc>
          <w:tcPr>
            <w:tcW w:w="5173" w:type="dxa"/>
            <w:tcBorders>
              <w:top w:val="single" w:color="auto" w:sz="4" w:space="0"/>
              <w:left w:val="single" w:color="auto" w:sz="4" w:space="0"/>
              <w:bottom w:val="single" w:color="auto" w:sz="4" w:space="0"/>
              <w:right w:val="single" w:color="auto" w:sz="4" w:space="0"/>
            </w:tcBorders>
            <w:noWrap/>
            <w:vAlign w:val="center"/>
          </w:tcPr>
          <w:p w14:paraId="2AF21ECF">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晶圆校准器（Aligner）</w:t>
            </w:r>
          </w:p>
        </w:tc>
        <w:tc>
          <w:tcPr>
            <w:tcW w:w="1414" w:type="dxa"/>
            <w:tcBorders>
              <w:top w:val="single" w:color="auto" w:sz="4" w:space="0"/>
              <w:left w:val="single" w:color="auto" w:sz="4" w:space="0"/>
              <w:bottom w:val="single" w:color="auto" w:sz="4" w:space="0"/>
              <w:right w:val="single" w:color="auto" w:sz="4" w:space="0"/>
            </w:tcBorders>
            <w:noWrap/>
            <w:vAlign w:val="center"/>
          </w:tcPr>
          <w:p w14:paraId="753692F4">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684D9C86">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2</w:t>
            </w:r>
          </w:p>
        </w:tc>
      </w:tr>
      <w:tr w14:paraId="1F670A72">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2BD444D">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6</w:t>
            </w:r>
          </w:p>
        </w:tc>
        <w:tc>
          <w:tcPr>
            <w:tcW w:w="5173" w:type="dxa"/>
            <w:tcBorders>
              <w:top w:val="single" w:color="auto" w:sz="4" w:space="0"/>
              <w:left w:val="single" w:color="auto" w:sz="4" w:space="0"/>
              <w:bottom w:val="single" w:color="auto" w:sz="4" w:space="0"/>
              <w:right w:val="single" w:color="auto" w:sz="4" w:space="0"/>
            </w:tcBorders>
            <w:noWrap/>
            <w:vAlign w:val="center"/>
          </w:tcPr>
          <w:p w14:paraId="34A04E03">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设备前端模组（EFEM）</w:t>
            </w:r>
          </w:p>
        </w:tc>
        <w:tc>
          <w:tcPr>
            <w:tcW w:w="1414" w:type="dxa"/>
            <w:tcBorders>
              <w:top w:val="single" w:color="auto" w:sz="4" w:space="0"/>
              <w:left w:val="single" w:color="auto" w:sz="4" w:space="0"/>
              <w:bottom w:val="single" w:color="auto" w:sz="4" w:space="0"/>
              <w:right w:val="single" w:color="auto" w:sz="4" w:space="0"/>
            </w:tcBorders>
            <w:noWrap/>
            <w:vAlign w:val="center"/>
          </w:tcPr>
          <w:p w14:paraId="649FF323">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7D8B6538">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1</w:t>
            </w:r>
          </w:p>
        </w:tc>
      </w:tr>
      <w:tr w14:paraId="0A7F57CE">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E7EB4C8">
            <w:pPr>
              <w:widowControl/>
              <w:snapToGrid w:val="0"/>
              <w:spacing w:before="156" w:beforeLines="50" w:line="360" w:lineRule="auto"/>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7</w:t>
            </w:r>
          </w:p>
        </w:tc>
        <w:tc>
          <w:tcPr>
            <w:tcW w:w="5173" w:type="dxa"/>
            <w:tcBorders>
              <w:top w:val="single" w:color="auto" w:sz="4" w:space="0"/>
              <w:left w:val="single" w:color="auto" w:sz="4" w:space="0"/>
              <w:bottom w:val="single" w:color="auto" w:sz="4" w:space="0"/>
              <w:right w:val="single" w:color="auto" w:sz="4" w:space="0"/>
            </w:tcBorders>
            <w:noWrap/>
            <w:vAlign w:val="center"/>
          </w:tcPr>
          <w:p w14:paraId="4A0A0CCA">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晶圆冷却</w:t>
            </w:r>
            <w:r>
              <w:rPr>
                <w:rFonts w:hint="eastAsia" w:ascii="Times New Roman" w:hAnsi="Times New Roman" w:eastAsia="宋体" w:cs="Times New Roman"/>
                <w:color w:val="auto"/>
                <w:sz w:val="24"/>
              </w:rPr>
              <w:t>单元</w:t>
            </w:r>
            <w:r>
              <w:rPr>
                <w:rFonts w:ascii="Times New Roman" w:hAnsi="Times New Roman" w:eastAsia="宋体" w:cs="Times New Roman"/>
                <w:color w:val="auto"/>
                <w:sz w:val="24"/>
              </w:rPr>
              <w:t>（Cooling Stage）</w:t>
            </w:r>
          </w:p>
        </w:tc>
        <w:tc>
          <w:tcPr>
            <w:tcW w:w="1414" w:type="dxa"/>
            <w:tcBorders>
              <w:top w:val="single" w:color="auto" w:sz="4" w:space="0"/>
              <w:left w:val="single" w:color="auto" w:sz="4" w:space="0"/>
              <w:bottom w:val="single" w:color="auto" w:sz="4" w:space="0"/>
              <w:right w:val="single" w:color="auto" w:sz="4" w:space="0"/>
            </w:tcBorders>
            <w:noWrap/>
            <w:vAlign w:val="center"/>
          </w:tcPr>
          <w:p w14:paraId="59DA0335">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1609E359">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 w:val="24"/>
              </w:rPr>
              <w:t>2</w:t>
            </w:r>
          </w:p>
        </w:tc>
      </w:tr>
      <w:tr w14:paraId="2F4A7884">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68EFEDE0">
            <w:pPr>
              <w:widowControl/>
              <w:snapToGrid w:val="0"/>
              <w:spacing w:before="156" w:beforeLines="50" w:line="360" w:lineRule="auto"/>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8</w:t>
            </w:r>
          </w:p>
        </w:tc>
        <w:tc>
          <w:tcPr>
            <w:tcW w:w="5173" w:type="dxa"/>
            <w:tcBorders>
              <w:top w:val="single" w:color="auto" w:sz="4" w:space="0"/>
              <w:left w:val="single" w:color="auto" w:sz="4" w:space="0"/>
              <w:bottom w:val="single" w:color="auto" w:sz="4" w:space="0"/>
              <w:right w:val="single" w:color="auto" w:sz="4" w:space="0"/>
            </w:tcBorders>
            <w:noWrap/>
            <w:vAlign w:val="center"/>
          </w:tcPr>
          <w:p w14:paraId="09500B54">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反应腔室（Main Chamber）</w:t>
            </w:r>
          </w:p>
        </w:tc>
        <w:tc>
          <w:tcPr>
            <w:tcW w:w="1414" w:type="dxa"/>
            <w:tcBorders>
              <w:top w:val="single" w:color="auto" w:sz="4" w:space="0"/>
              <w:left w:val="single" w:color="auto" w:sz="4" w:space="0"/>
              <w:bottom w:val="single" w:color="auto" w:sz="4" w:space="0"/>
              <w:right w:val="single" w:color="auto" w:sz="4" w:space="0"/>
            </w:tcBorders>
            <w:noWrap/>
            <w:vAlign w:val="center"/>
          </w:tcPr>
          <w:p w14:paraId="6A499E79">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1C1E65E6">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合同确定数量</w:t>
            </w:r>
          </w:p>
        </w:tc>
      </w:tr>
      <w:tr w14:paraId="3EBFAEDF">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78088F06">
            <w:pPr>
              <w:widowControl/>
              <w:snapToGrid w:val="0"/>
              <w:spacing w:before="156" w:beforeLines="50" w:line="360" w:lineRule="auto"/>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9</w:t>
            </w:r>
          </w:p>
        </w:tc>
        <w:tc>
          <w:tcPr>
            <w:tcW w:w="5173" w:type="dxa"/>
            <w:tcBorders>
              <w:top w:val="single" w:color="auto" w:sz="4" w:space="0"/>
              <w:left w:val="single" w:color="auto" w:sz="4" w:space="0"/>
              <w:bottom w:val="single" w:color="auto" w:sz="4" w:space="0"/>
              <w:right w:val="single" w:color="auto" w:sz="4" w:space="0"/>
            </w:tcBorders>
            <w:noWrap/>
            <w:vAlign w:val="center"/>
          </w:tcPr>
          <w:p w14:paraId="4F0BFC6B">
            <w:pPr>
              <w:widowControl/>
              <w:snapToGrid w:val="0"/>
              <w:spacing w:before="156" w:beforeLines="50" w:line="360" w:lineRule="auto"/>
              <w:rPr>
                <w:rFonts w:hint="eastAsia" w:ascii="宋体" w:hAnsi="宋体" w:eastAsia="宋体" w:cs="宋体"/>
                <w:color w:val="auto"/>
                <w:sz w:val="24"/>
              </w:rPr>
            </w:pPr>
            <w:r>
              <w:rPr>
                <w:rFonts w:hint="eastAsia" w:ascii="Times New Roman" w:hAnsi="Times New Roman" w:eastAsia="宋体" w:cs="Times New Roman"/>
                <w:color w:val="auto"/>
                <w:sz w:val="24"/>
              </w:rPr>
              <w:t>等离子体生成源</w:t>
            </w:r>
            <w:r>
              <w:rPr>
                <w:rFonts w:ascii="Times New Roman" w:hAnsi="Times New Roman" w:eastAsia="宋体" w:cs="Times New Roman"/>
                <w:color w:val="auto"/>
                <w:sz w:val="24"/>
              </w:rPr>
              <w:t>（RF</w:t>
            </w:r>
            <w:r>
              <w:rPr>
                <w:rFonts w:hint="eastAsia" w:ascii="Times New Roman" w:hAnsi="Times New Roman" w:eastAsia="宋体" w:cs="Times New Roman"/>
                <w:color w:val="auto"/>
                <w:sz w:val="24"/>
              </w:rPr>
              <w:t>/MicroWave</w:t>
            </w:r>
            <w:r>
              <w:rPr>
                <w:rFonts w:ascii="Times New Roman" w:hAnsi="Times New Roman" w:eastAsia="宋体" w:cs="Times New Roman"/>
                <w:color w:val="auto"/>
                <w:sz w:val="24"/>
              </w:rPr>
              <w:t>）</w:t>
            </w:r>
          </w:p>
        </w:tc>
        <w:tc>
          <w:tcPr>
            <w:tcW w:w="1414" w:type="dxa"/>
            <w:tcBorders>
              <w:top w:val="single" w:color="auto" w:sz="4" w:space="0"/>
              <w:left w:val="single" w:color="auto" w:sz="4" w:space="0"/>
              <w:bottom w:val="single" w:color="auto" w:sz="4" w:space="0"/>
              <w:right w:val="single" w:color="auto" w:sz="4" w:space="0"/>
            </w:tcBorders>
            <w:noWrap/>
            <w:vAlign w:val="center"/>
          </w:tcPr>
          <w:p w14:paraId="048730A0">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26115550">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腔室数量×2</w:t>
            </w:r>
          </w:p>
        </w:tc>
      </w:tr>
      <w:tr w14:paraId="4C716873">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4ACB2548">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10</w:t>
            </w:r>
          </w:p>
        </w:tc>
        <w:tc>
          <w:tcPr>
            <w:tcW w:w="5173" w:type="dxa"/>
            <w:tcBorders>
              <w:top w:val="single" w:color="auto" w:sz="4" w:space="0"/>
              <w:left w:val="single" w:color="auto" w:sz="4" w:space="0"/>
              <w:bottom w:val="single" w:color="auto" w:sz="4" w:space="0"/>
              <w:right w:val="single" w:color="auto" w:sz="4" w:space="0"/>
            </w:tcBorders>
            <w:noWrap/>
            <w:vAlign w:val="center"/>
          </w:tcPr>
          <w:p w14:paraId="0B563299">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匹配器（Match）</w:t>
            </w:r>
          </w:p>
        </w:tc>
        <w:tc>
          <w:tcPr>
            <w:tcW w:w="1414" w:type="dxa"/>
            <w:tcBorders>
              <w:top w:val="single" w:color="auto" w:sz="4" w:space="0"/>
              <w:left w:val="single" w:color="auto" w:sz="4" w:space="0"/>
              <w:bottom w:val="single" w:color="auto" w:sz="4" w:space="0"/>
              <w:right w:val="single" w:color="auto" w:sz="4" w:space="0"/>
            </w:tcBorders>
            <w:noWrap/>
            <w:vAlign w:val="center"/>
          </w:tcPr>
          <w:p w14:paraId="709A36C4">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2FDEF4CD">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腔室数量×2</w:t>
            </w:r>
          </w:p>
        </w:tc>
      </w:tr>
      <w:tr w14:paraId="6AF2F9CA">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90DBCED">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11</w:t>
            </w:r>
          </w:p>
        </w:tc>
        <w:tc>
          <w:tcPr>
            <w:tcW w:w="5173" w:type="dxa"/>
            <w:tcBorders>
              <w:top w:val="single" w:color="auto" w:sz="4" w:space="0"/>
              <w:left w:val="single" w:color="auto" w:sz="4" w:space="0"/>
              <w:bottom w:val="single" w:color="auto" w:sz="4" w:space="0"/>
              <w:right w:val="single" w:color="auto" w:sz="4" w:space="0"/>
            </w:tcBorders>
            <w:noWrap/>
            <w:vAlign w:val="center"/>
          </w:tcPr>
          <w:p w14:paraId="5B2F2833">
            <w:pPr>
              <w:widowControl/>
              <w:snapToGrid w:val="0"/>
              <w:spacing w:before="156" w:beforeLines="50" w:line="360" w:lineRule="auto"/>
              <w:rPr>
                <w:rFonts w:hint="eastAsia" w:ascii="宋体" w:hAnsi="宋体" w:eastAsia="宋体" w:cs="宋体"/>
                <w:color w:val="auto"/>
                <w:sz w:val="24"/>
              </w:rPr>
            </w:pPr>
            <w:r>
              <w:rPr>
                <w:rFonts w:ascii="Times New Roman" w:hAnsi="Times New Roman" w:eastAsia="宋体" w:cs="Times New Roman"/>
                <w:color w:val="auto"/>
                <w:sz w:val="24"/>
              </w:rPr>
              <w:t>终点检测</w:t>
            </w:r>
            <w:r>
              <w:rPr>
                <w:rFonts w:hint="eastAsia" w:ascii="Times New Roman" w:hAnsi="Times New Roman" w:eastAsia="宋体" w:cs="Times New Roman"/>
                <w:color w:val="auto"/>
                <w:sz w:val="24"/>
              </w:rPr>
              <w:t>（OES）</w:t>
            </w:r>
          </w:p>
        </w:tc>
        <w:tc>
          <w:tcPr>
            <w:tcW w:w="1414" w:type="dxa"/>
            <w:tcBorders>
              <w:top w:val="single" w:color="auto" w:sz="4" w:space="0"/>
              <w:left w:val="single" w:color="auto" w:sz="4" w:space="0"/>
              <w:bottom w:val="single" w:color="auto" w:sz="4" w:space="0"/>
              <w:right w:val="single" w:color="auto" w:sz="4" w:space="0"/>
            </w:tcBorders>
            <w:noWrap/>
            <w:vAlign w:val="center"/>
          </w:tcPr>
          <w:p w14:paraId="1CBE9255">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4A1FE68B">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腔室数量×2</w:t>
            </w:r>
          </w:p>
        </w:tc>
      </w:tr>
      <w:tr w14:paraId="35FEA49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45DAD62F">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12</w:t>
            </w:r>
          </w:p>
        </w:tc>
        <w:tc>
          <w:tcPr>
            <w:tcW w:w="5173" w:type="dxa"/>
            <w:tcBorders>
              <w:top w:val="single" w:color="auto" w:sz="4" w:space="0"/>
              <w:left w:val="single" w:color="auto" w:sz="4" w:space="0"/>
              <w:bottom w:val="single" w:color="auto" w:sz="4" w:space="0"/>
              <w:right w:val="single" w:color="auto" w:sz="4" w:space="0"/>
            </w:tcBorders>
            <w:noWrap/>
            <w:vAlign w:val="center"/>
          </w:tcPr>
          <w:p w14:paraId="1928E2B6">
            <w:pPr>
              <w:widowControl/>
              <w:snapToGrid w:val="0"/>
              <w:spacing w:before="156" w:beforeLines="50" w:line="360" w:lineRule="auto"/>
              <w:rPr>
                <w:rFonts w:hint="eastAsia" w:ascii="宋体" w:hAnsi="宋体" w:eastAsia="宋体" w:cs="宋体"/>
                <w:color w:val="auto"/>
                <w:sz w:val="24"/>
              </w:rPr>
            </w:pPr>
            <w:r>
              <w:rPr>
                <w:rFonts w:hint="eastAsia" w:ascii="Times New Roman" w:hAnsi="Times New Roman" w:eastAsia="宋体" w:cs="Times New Roman"/>
                <w:color w:val="auto"/>
                <w:sz w:val="24"/>
              </w:rPr>
              <w:t>干泵（Dry Pump）</w:t>
            </w:r>
          </w:p>
        </w:tc>
        <w:tc>
          <w:tcPr>
            <w:tcW w:w="1414" w:type="dxa"/>
            <w:tcBorders>
              <w:top w:val="single" w:color="auto" w:sz="4" w:space="0"/>
              <w:left w:val="single" w:color="auto" w:sz="4" w:space="0"/>
              <w:bottom w:val="single" w:color="auto" w:sz="4" w:space="0"/>
              <w:right w:val="single" w:color="auto" w:sz="4" w:space="0"/>
            </w:tcBorders>
            <w:noWrap/>
            <w:vAlign w:val="center"/>
          </w:tcPr>
          <w:p w14:paraId="26604254">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45763416">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腔室数量+1</w:t>
            </w:r>
          </w:p>
        </w:tc>
      </w:tr>
      <w:tr w14:paraId="04C54F4E">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5245FC6">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13</w:t>
            </w:r>
          </w:p>
        </w:tc>
        <w:tc>
          <w:tcPr>
            <w:tcW w:w="5173" w:type="dxa"/>
            <w:tcBorders>
              <w:top w:val="single" w:color="auto" w:sz="4" w:space="0"/>
              <w:left w:val="single" w:color="auto" w:sz="4" w:space="0"/>
              <w:bottom w:val="single" w:color="auto" w:sz="4" w:space="0"/>
              <w:right w:val="single" w:color="auto" w:sz="4" w:space="0"/>
            </w:tcBorders>
            <w:noWrap/>
            <w:vAlign w:val="center"/>
          </w:tcPr>
          <w:p w14:paraId="469AE9A1">
            <w:pPr>
              <w:widowControl/>
              <w:snapToGrid w:val="0"/>
              <w:spacing w:before="156" w:beforeLines="50" w:line="360" w:lineRule="auto"/>
              <w:rPr>
                <w:rFonts w:hint="eastAsia" w:ascii="宋体" w:hAnsi="宋体" w:eastAsia="宋体" w:cs="宋体"/>
                <w:color w:val="auto"/>
                <w:sz w:val="24"/>
              </w:rPr>
            </w:pPr>
            <w:r>
              <w:rPr>
                <w:rFonts w:hint="eastAsia" w:ascii="Times New Roman" w:hAnsi="Times New Roman" w:eastAsia="宋体" w:cs="Times New Roman"/>
                <w:color w:val="auto"/>
                <w:sz w:val="24"/>
              </w:rPr>
              <w:t>温控加热装置（Heater）</w:t>
            </w:r>
          </w:p>
        </w:tc>
        <w:tc>
          <w:tcPr>
            <w:tcW w:w="1414" w:type="dxa"/>
            <w:tcBorders>
              <w:top w:val="single" w:color="auto" w:sz="4" w:space="0"/>
              <w:left w:val="single" w:color="auto" w:sz="4" w:space="0"/>
              <w:bottom w:val="single" w:color="auto" w:sz="4" w:space="0"/>
              <w:right w:val="single" w:color="auto" w:sz="4" w:space="0"/>
            </w:tcBorders>
            <w:noWrap/>
            <w:vAlign w:val="center"/>
          </w:tcPr>
          <w:p w14:paraId="0B358205">
            <w:pPr>
              <w:jc w:val="center"/>
              <w:rPr>
                <w:rFonts w:hint="eastAsia" w:ascii="宋体" w:hAnsi="宋体" w:eastAsia="宋体" w:cs="宋体"/>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23A6CD2D">
            <w:pPr>
              <w:widowControl/>
              <w:snapToGrid w:val="0"/>
              <w:spacing w:before="156" w:beforeLines="50" w:line="360" w:lineRule="auto"/>
              <w:jc w:val="center"/>
              <w:rPr>
                <w:rFonts w:hint="eastAsia" w:ascii="宋体" w:hAnsi="宋体" w:eastAsia="宋体" w:cs="宋体"/>
                <w:color w:val="auto"/>
                <w:sz w:val="24"/>
              </w:rPr>
            </w:pPr>
            <w:r>
              <w:rPr>
                <w:rFonts w:hint="eastAsia" w:ascii="Times New Roman" w:hAnsi="Times New Roman" w:eastAsia="宋体" w:cs="Times New Roman"/>
                <w:color w:val="auto"/>
                <w:szCs w:val="21"/>
              </w:rPr>
              <w:t>腔室数量×2</w:t>
            </w:r>
          </w:p>
        </w:tc>
      </w:tr>
      <w:tr w14:paraId="543240B8">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F05900B">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14</w:t>
            </w:r>
          </w:p>
        </w:tc>
        <w:tc>
          <w:tcPr>
            <w:tcW w:w="5173" w:type="dxa"/>
            <w:tcBorders>
              <w:top w:val="single" w:color="auto" w:sz="4" w:space="0"/>
              <w:left w:val="single" w:color="auto" w:sz="4" w:space="0"/>
              <w:bottom w:val="single" w:color="auto" w:sz="4" w:space="0"/>
              <w:right w:val="single" w:color="auto" w:sz="4" w:space="0"/>
            </w:tcBorders>
            <w:noWrap/>
            <w:vAlign w:val="center"/>
          </w:tcPr>
          <w:p w14:paraId="3F78D992">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质量流量控制器（MFC）O</w:t>
            </w:r>
            <w:r>
              <w:rPr>
                <w:rFonts w:hint="eastAsia" w:ascii="Times New Roman" w:hAnsi="Times New Roman" w:eastAsia="宋体" w:cs="Times New Roman"/>
                <w:color w:val="auto"/>
                <w:sz w:val="24"/>
                <w:vertAlign w:val="subscript"/>
              </w:rPr>
              <w:t>2</w:t>
            </w:r>
          </w:p>
        </w:tc>
        <w:tc>
          <w:tcPr>
            <w:tcW w:w="1414" w:type="dxa"/>
            <w:tcBorders>
              <w:top w:val="single" w:color="auto" w:sz="4" w:space="0"/>
              <w:left w:val="single" w:color="auto" w:sz="4" w:space="0"/>
              <w:bottom w:val="single" w:color="auto" w:sz="4" w:space="0"/>
              <w:right w:val="single" w:color="auto" w:sz="4" w:space="0"/>
            </w:tcBorders>
            <w:noWrap/>
            <w:vAlign w:val="center"/>
          </w:tcPr>
          <w:p w14:paraId="59BFC11E">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68AA7E97">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0FC667D1">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4F97FE08">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15</w:t>
            </w:r>
          </w:p>
        </w:tc>
        <w:tc>
          <w:tcPr>
            <w:tcW w:w="5173" w:type="dxa"/>
            <w:tcBorders>
              <w:top w:val="single" w:color="auto" w:sz="4" w:space="0"/>
              <w:left w:val="single" w:color="auto" w:sz="4" w:space="0"/>
              <w:bottom w:val="single" w:color="auto" w:sz="4" w:space="0"/>
              <w:right w:val="single" w:color="auto" w:sz="4" w:space="0"/>
            </w:tcBorders>
            <w:noWrap/>
            <w:vAlign w:val="center"/>
          </w:tcPr>
          <w:p w14:paraId="6100F818">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质量流量控制器（MFC）H</w:t>
            </w:r>
            <w:r>
              <w:rPr>
                <w:rFonts w:hint="eastAsia" w:ascii="Times New Roman" w:hAnsi="Times New Roman" w:eastAsia="宋体" w:cs="Times New Roman"/>
                <w:color w:val="auto"/>
                <w:sz w:val="24"/>
                <w:vertAlign w:val="subscript"/>
              </w:rPr>
              <w:t>2</w:t>
            </w:r>
          </w:p>
        </w:tc>
        <w:tc>
          <w:tcPr>
            <w:tcW w:w="1414" w:type="dxa"/>
            <w:tcBorders>
              <w:top w:val="single" w:color="auto" w:sz="4" w:space="0"/>
              <w:left w:val="single" w:color="auto" w:sz="4" w:space="0"/>
              <w:bottom w:val="single" w:color="auto" w:sz="4" w:space="0"/>
              <w:right w:val="single" w:color="auto" w:sz="4" w:space="0"/>
            </w:tcBorders>
            <w:noWrap/>
            <w:vAlign w:val="center"/>
          </w:tcPr>
          <w:p w14:paraId="139B8354">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09D8B3B0">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17813887">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62CA30AB">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16</w:t>
            </w:r>
          </w:p>
        </w:tc>
        <w:tc>
          <w:tcPr>
            <w:tcW w:w="5173" w:type="dxa"/>
            <w:tcBorders>
              <w:top w:val="single" w:color="auto" w:sz="4" w:space="0"/>
              <w:left w:val="single" w:color="auto" w:sz="4" w:space="0"/>
              <w:bottom w:val="single" w:color="auto" w:sz="4" w:space="0"/>
              <w:right w:val="single" w:color="auto" w:sz="4" w:space="0"/>
            </w:tcBorders>
            <w:noWrap/>
            <w:vAlign w:val="center"/>
          </w:tcPr>
          <w:p w14:paraId="37CD081F">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质量流量控制器（MFC）N</w:t>
            </w:r>
            <w:r>
              <w:rPr>
                <w:rFonts w:hint="eastAsia" w:ascii="Times New Roman" w:hAnsi="Times New Roman" w:eastAsia="宋体" w:cs="Times New Roman"/>
                <w:color w:val="auto"/>
                <w:sz w:val="24"/>
                <w:vertAlign w:val="subscript"/>
              </w:rPr>
              <w:t>2</w:t>
            </w:r>
          </w:p>
        </w:tc>
        <w:tc>
          <w:tcPr>
            <w:tcW w:w="1414" w:type="dxa"/>
            <w:tcBorders>
              <w:top w:val="single" w:color="auto" w:sz="4" w:space="0"/>
              <w:left w:val="single" w:color="auto" w:sz="4" w:space="0"/>
              <w:bottom w:val="single" w:color="auto" w:sz="4" w:space="0"/>
              <w:right w:val="single" w:color="auto" w:sz="4" w:space="0"/>
            </w:tcBorders>
            <w:noWrap/>
            <w:vAlign w:val="center"/>
          </w:tcPr>
          <w:p w14:paraId="47D889FC">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20BB1824">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49F38FD3">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7C6B2E1A">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17</w:t>
            </w:r>
          </w:p>
        </w:tc>
        <w:tc>
          <w:tcPr>
            <w:tcW w:w="5173" w:type="dxa"/>
            <w:tcBorders>
              <w:top w:val="single" w:color="auto" w:sz="4" w:space="0"/>
              <w:left w:val="single" w:color="auto" w:sz="4" w:space="0"/>
              <w:bottom w:val="single" w:color="auto" w:sz="4" w:space="0"/>
              <w:right w:val="single" w:color="auto" w:sz="4" w:space="0"/>
            </w:tcBorders>
            <w:noWrap/>
            <w:vAlign w:val="center"/>
          </w:tcPr>
          <w:p w14:paraId="185EF934">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质量流量控制器（MFC）96%N</w:t>
            </w:r>
            <w:r>
              <w:rPr>
                <w:rFonts w:hint="eastAsia" w:ascii="Times New Roman" w:hAnsi="Times New Roman" w:eastAsia="宋体" w:cs="Times New Roman"/>
                <w:color w:val="auto"/>
                <w:sz w:val="24"/>
                <w:vertAlign w:val="subscript"/>
              </w:rPr>
              <w:t>2</w:t>
            </w:r>
            <w:r>
              <w:rPr>
                <w:rFonts w:hint="eastAsia" w:ascii="Times New Roman" w:hAnsi="Times New Roman" w:eastAsia="宋体" w:cs="Times New Roman"/>
                <w:color w:val="auto"/>
                <w:sz w:val="24"/>
              </w:rPr>
              <w:t>/4%H</w:t>
            </w:r>
            <w:r>
              <w:rPr>
                <w:rFonts w:hint="eastAsia" w:ascii="Times New Roman" w:hAnsi="Times New Roman" w:eastAsia="宋体" w:cs="Times New Roman"/>
                <w:color w:val="auto"/>
                <w:sz w:val="24"/>
                <w:vertAlign w:val="subscript"/>
              </w:rPr>
              <w:t>2</w:t>
            </w:r>
          </w:p>
        </w:tc>
        <w:tc>
          <w:tcPr>
            <w:tcW w:w="1414" w:type="dxa"/>
            <w:tcBorders>
              <w:top w:val="single" w:color="auto" w:sz="4" w:space="0"/>
              <w:left w:val="single" w:color="auto" w:sz="4" w:space="0"/>
              <w:bottom w:val="single" w:color="auto" w:sz="4" w:space="0"/>
              <w:right w:val="single" w:color="auto" w:sz="4" w:space="0"/>
            </w:tcBorders>
            <w:noWrap/>
            <w:vAlign w:val="center"/>
          </w:tcPr>
          <w:p w14:paraId="549E860C">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4F38B75D">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2A94FA38">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79D7D613">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18</w:t>
            </w:r>
          </w:p>
        </w:tc>
        <w:tc>
          <w:tcPr>
            <w:tcW w:w="5173" w:type="dxa"/>
            <w:tcBorders>
              <w:top w:val="single" w:color="auto" w:sz="4" w:space="0"/>
              <w:left w:val="single" w:color="auto" w:sz="4" w:space="0"/>
              <w:bottom w:val="single" w:color="auto" w:sz="4" w:space="0"/>
              <w:right w:val="single" w:color="auto" w:sz="4" w:space="0"/>
            </w:tcBorders>
            <w:noWrap/>
            <w:vAlign w:val="center"/>
          </w:tcPr>
          <w:p w14:paraId="3ADCBB9A">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质量流量控制器（MFC）CF</w:t>
            </w:r>
            <w:r>
              <w:rPr>
                <w:rFonts w:hint="eastAsia" w:ascii="Times New Roman" w:hAnsi="Times New Roman" w:eastAsia="宋体" w:cs="Times New Roman"/>
                <w:color w:val="auto"/>
                <w:sz w:val="24"/>
                <w:vertAlign w:val="subscript"/>
              </w:rPr>
              <w:t>4</w:t>
            </w:r>
          </w:p>
        </w:tc>
        <w:tc>
          <w:tcPr>
            <w:tcW w:w="1414" w:type="dxa"/>
            <w:tcBorders>
              <w:top w:val="single" w:color="auto" w:sz="4" w:space="0"/>
              <w:left w:val="single" w:color="auto" w:sz="4" w:space="0"/>
              <w:bottom w:val="single" w:color="auto" w:sz="4" w:space="0"/>
              <w:right w:val="single" w:color="auto" w:sz="4" w:space="0"/>
            </w:tcBorders>
            <w:noWrap/>
            <w:vAlign w:val="center"/>
          </w:tcPr>
          <w:p w14:paraId="77579810">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个</w:t>
            </w:r>
          </w:p>
        </w:tc>
        <w:tc>
          <w:tcPr>
            <w:tcW w:w="1530" w:type="dxa"/>
            <w:tcBorders>
              <w:top w:val="single" w:color="auto" w:sz="4" w:space="0"/>
              <w:left w:val="single" w:color="auto" w:sz="4" w:space="0"/>
              <w:bottom w:val="single" w:color="auto" w:sz="4" w:space="0"/>
              <w:right w:val="single" w:color="auto" w:sz="4" w:space="0"/>
            </w:tcBorders>
            <w:noWrap/>
            <w:vAlign w:val="center"/>
          </w:tcPr>
          <w:p w14:paraId="79458BA7">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6753FED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7E9454F7">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19</w:t>
            </w:r>
          </w:p>
        </w:tc>
        <w:tc>
          <w:tcPr>
            <w:tcW w:w="5173" w:type="dxa"/>
            <w:tcBorders>
              <w:top w:val="single" w:color="auto" w:sz="4" w:space="0"/>
              <w:left w:val="single" w:color="auto" w:sz="4" w:space="0"/>
              <w:bottom w:val="single" w:color="auto" w:sz="4" w:space="0"/>
              <w:right w:val="single" w:color="auto" w:sz="4" w:space="0"/>
            </w:tcBorders>
            <w:noWrap/>
            <w:vAlign w:val="center"/>
          </w:tcPr>
          <w:p w14:paraId="13AA6D90">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配电柜</w:t>
            </w:r>
          </w:p>
        </w:tc>
        <w:tc>
          <w:tcPr>
            <w:tcW w:w="1414" w:type="dxa"/>
            <w:tcBorders>
              <w:top w:val="single" w:color="auto" w:sz="4" w:space="0"/>
              <w:left w:val="single" w:color="auto" w:sz="4" w:space="0"/>
              <w:bottom w:val="single" w:color="auto" w:sz="4" w:space="0"/>
              <w:right w:val="single" w:color="auto" w:sz="4" w:space="0"/>
            </w:tcBorders>
            <w:noWrap/>
            <w:vAlign w:val="center"/>
          </w:tcPr>
          <w:p w14:paraId="4A5D2C12">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53EBE00C">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w:t>
            </w:r>
          </w:p>
        </w:tc>
      </w:tr>
      <w:tr w14:paraId="1644241D">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2CF30FB0">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20</w:t>
            </w:r>
          </w:p>
        </w:tc>
        <w:tc>
          <w:tcPr>
            <w:tcW w:w="5173" w:type="dxa"/>
            <w:tcBorders>
              <w:top w:val="single" w:color="auto" w:sz="4" w:space="0"/>
              <w:left w:val="single" w:color="auto" w:sz="4" w:space="0"/>
              <w:bottom w:val="single" w:color="auto" w:sz="4" w:space="0"/>
              <w:right w:val="single" w:color="auto" w:sz="4" w:space="0"/>
            </w:tcBorders>
            <w:noWrap/>
            <w:vAlign w:val="center"/>
          </w:tcPr>
          <w:p w14:paraId="2E1DD984">
            <w:pPr>
              <w:widowControl/>
              <w:snapToGrid w:val="0"/>
              <w:spacing w:before="156" w:beforeLines="50"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rPr>
              <w:t>气柜</w:t>
            </w:r>
          </w:p>
        </w:tc>
        <w:tc>
          <w:tcPr>
            <w:tcW w:w="1414" w:type="dxa"/>
            <w:tcBorders>
              <w:top w:val="single" w:color="auto" w:sz="4" w:space="0"/>
              <w:left w:val="single" w:color="auto" w:sz="4" w:space="0"/>
              <w:bottom w:val="single" w:color="auto" w:sz="4" w:space="0"/>
              <w:right w:val="single" w:color="auto" w:sz="4" w:space="0"/>
            </w:tcBorders>
            <w:noWrap/>
            <w:vAlign w:val="center"/>
          </w:tcPr>
          <w:p w14:paraId="44A3366F">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000A41E3">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Cs w:val="21"/>
              </w:rPr>
              <w:t>腔室数量</w:t>
            </w:r>
          </w:p>
        </w:tc>
      </w:tr>
      <w:tr w14:paraId="7F1FD260">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151A3C0">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21</w:t>
            </w:r>
          </w:p>
        </w:tc>
        <w:tc>
          <w:tcPr>
            <w:tcW w:w="5173" w:type="dxa"/>
            <w:tcBorders>
              <w:top w:val="single" w:color="auto" w:sz="4" w:space="0"/>
              <w:left w:val="single" w:color="auto" w:sz="4" w:space="0"/>
              <w:bottom w:val="single" w:color="auto" w:sz="4" w:space="0"/>
              <w:right w:val="single" w:color="auto" w:sz="4" w:space="0"/>
            </w:tcBorders>
            <w:noWrap/>
            <w:vAlign w:val="center"/>
          </w:tcPr>
          <w:p w14:paraId="7D8A8DF3">
            <w:pPr>
              <w:widowControl/>
              <w:snapToGrid w:val="0"/>
              <w:spacing w:before="156" w:beforeLines="50" w:line="360" w:lineRule="auto"/>
              <w:rPr>
                <w:rFonts w:ascii="Times New Roman" w:hAnsi="Times New Roman" w:eastAsia="宋体" w:cs="Times New Roman"/>
                <w:color w:val="auto"/>
                <w:sz w:val="24"/>
              </w:rPr>
            </w:pPr>
            <w:r>
              <w:rPr>
                <w:rFonts w:ascii="Times New Roman" w:hAnsi="Times New Roman" w:eastAsia="宋体" w:cs="Times New Roman"/>
                <w:color w:val="auto"/>
                <w:sz w:val="24"/>
              </w:rPr>
              <w:t>PM parts（保养耗材）</w:t>
            </w:r>
          </w:p>
        </w:tc>
        <w:tc>
          <w:tcPr>
            <w:tcW w:w="1414" w:type="dxa"/>
            <w:tcBorders>
              <w:top w:val="single" w:color="auto" w:sz="4" w:space="0"/>
              <w:left w:val="single" w:color="auto" w:sz="4" w:space="0"/>
              <w:bottom w:val="single" w:color="auto" w:sz="4" w:space="0"/>
              <w:right w:val="single" w:color="auto" w:sz="4" w:space="0"/>
            </w:tcBorders>
            <w:noWrap/>
            <w:vAlign w:val="center"/>
          </w:tcPr>
          <w:p w14:paraId="1CAFD167">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18D24382">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w:t>
            </w:r>
          </w:p>
        </w:tc>
      </w:tr>
      <w:tr w14:paraId="0D5F74DA">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438D7D78">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22</w:t>
            </w:r>
          </w:p>
        </w:tc>
        <w:tc>
          <w:tcPr>
            <w:tcW w:w="5173" w:type="dxa"/>
            <w:tcBorders>
              <w:top w:val="single" w:color="auto" w:sz="4" w:space="0"/>
              <w:left w:val="single" w:color="auto" w:sz="4" w:space="0"/>
              <w:bottom w:val="single" w:color="auto" w:sz="4" w:space="0"/>
              <w:right w:val="single" w:color="auto" w:sz="4" w:space="0"/>
            </w:tcBorders>
            <w:noWrap/>
            <w:vAlign w:val="center"/>
          </w:tcPr>
          <w:p w14:paraId="56724084">
            <w:pPr>
              <w:widowControl/>
              <w:snapToGrid w:val="0"/>
              <w:spacing w:before="156" w:beforeLines="50" w:line="360" w:lineRule="auto"/>
              <w:rPr>
                <w:rFonts w:ascii="Times New Roman" w:hAnsi="Times New Roman" w:eastAsia="宋体" w:cs="Times New Roman"/>
                <w:color w:val="auto"/>
                <w:sz w:val="24"/>
              </w:rPr>
            </w:pPr>
            <w:r>
              <w:rPr>
                <w:rFonts w:ascii="Times New Roman" w:hAnsi="Times New Roman" w:eastAsia="宋体" w:cs="Times New Roman"/>
                <w:color w:val="auto"/>
                <w:sz w:val="24"/>
              </w:rPr>
              <w:t>PM and troubleshooting工具（保养和维修工具）</w:t>
            </w:r>
          </w:p>
        </w:tc>
        <w:tc>
          <w:tcPr>
            <w:tcW w:w="1414" w:type="dxa"/>
            <w:tcBorders>
              <w:top w:val="single" w:color="auto" w:sz="4" w:space="0"/>
              <w:left w:val="single" w:color="auto" w:sz="4" w:space="0"/>
              <w:bottom w:val="single" w:color="auto" w:sz="4" w:space="0"/>
              <w:right w:val="single" w:color="auto" w:sz="4" w:space="0"/>
            </w:tcBorders>
            <w:noWrap/>
            <w:vAlign w:val="center"/>
          </w:tcPr>
          <w:p w14:paraId="02FD7E2B">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5A718C9F">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w:t>
            </w:r>
          </w:p>
        </w:tc>
      </w:tr>
      <w:tr w14:paraId="3567EEBF">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E489046">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23</w:t>
            </w:r>
          </w:p>
        </w:tc>
        <w:tc>
          <w:tcPr>
            <w:tcW w:w="5173" w:type="dxa"/>
            <w:tcBorders>
              <w:top w:val="single" w:color="auto" w:sz="4" w:space="0"/>
              <w:left w:val="single" w:color="auto" w:sz="4" w:space="0"/>
              <w:bottom w:val="single" w:color="auto" w:sz="4" w:space="0"/>
              <w:right w:val="single" w:color="auto" w:sz="4" w:space="0"/>
            </w:tcBorders>
            <w:noWrap/>
            <w:vAlign w:val="center"/>
          </w:tcPr>
          <w:p w14:paraId="5239E9EB">
            <w:pPr>
              <w:widowControl/>
              <w:snapToGrid w:val="0"/>
              <w:spacing w:before="156" w:beforeLines="50" w:line="360" w:lineRule="auto"/>
              <w:rPr>
                <w:rFonts w:ascii="Times New Roman" w:hAnsi="Times New Roman" w:eastAsia="宋体" w:cs="Times New Roman"/>
                <w:color w:val="auto"/>
                <w:sz w:val="24"/>
              </w:rPr>
            </w:pPr>
            <w:r>
              <w:rPr>
                <w:rFonts w:ascii="Times New Roman" w:hAnsi="Times New Roman" w:eastAsia="宋体" w:cs="Times New Roman"/>
                <w:color w:val="auto"/>
                <w:sz w:val="24"/>
              </w:rPr>
              <w:t>随机操作手册</w:t>
            </w:r>
          </w:p>
        </w:tc>
        <w:tc>
          <w:tcPr>
            <w:tcW w:w="1414" w:type="dxa"/>
            <w:tcBorders>
              <w:top w:val="single" w:color="auto" w:sz="4" w:space="0"/>
              <w:left w:val="single" w:color="auto" w:sz="4" w:space="0"/>
              <w:bottom w:val="single" w:color="auto" w:sz="4" w:space="0"/>
              <w:right w:val="single" w:color="auto" w:sz="4" w:space="0"/>
            </w:tcBorders>
            <w:noWrap/>
            <w:vAlign w:val="center"/>
          </w:tcPr>
          <w:p w14:paraId="129C83D0">
            <w:pPr>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套</w:t>
            </w:r>
          </w:p>
        </w:tc>
        <w:tc>
          <w:tcPr>
            <w:tcW w:w="1530" w:type="dxa"/>
            <w:tcBorders>
              <w:top w:val="single" w:color="auto" w:sz="4" w:space="0"/>
              <w:left w:val="single" w:color="auto" w:sz="4" w:space="0"/>
              <w:bottom w:val="single" w:color="auto" w:sz="4" w:space="0"/>
              <w:right w:val="single" w:color="auto" w:sz="4" w:space="0"/>
            </w:tcBorders>
            <w:noWrap/>
            <w:vAlign w:val="center"/>
          </w:tcPr>
          <w:p w14:paraId="5CFD9D0E">
            <w:pPr>
              <w:widowControl/>
              <w:snapToGrid w:val="0"/>
              <w:spacing w:before="156" w:beforeLines="50" w:line="360" w:lineRule="auto"/>
              <w:jc w:val="center"/>
              <w:rPr>
                <w:rFonts w:ascii="Times New Roman" w:hAnsi="Times New Roman" w:eastAsia="宋体" w:cs="Times New Roman"/>
                <w:color w:val="auto"/>
                <w:sz w:val="24"/>
              </w:rPr>
            </w:pPr>
            <w:r>
              <w:rPr>
                <w:rFonts w:hint="eastAsia" w:ascii="Times New Roman" w:hAnsi="Times New Roman" w:eastAsia="宋体" w:cs="Times New Roman"/>
                <w:color w:val="auto"/>
                <w:sz w:val="24"/>
              </w:rPr>
              <w:t>1</w:t>
            </w:r>
          </w:p>
        </w:tc>
      </w:tr>
    </w:tbl>
    <w:p w14:paraId="03C7A419">
      <w:pPr>
        <w:spacing w:line="360" w:lineRule="auto"/>
        <w:rPr>
          <w:rFonts w:hint="eastAsia" w:ascii="Times New Roman" w:hAnsi="Times New Roman" w:eastAsia="宋体" w:cs="Times New Roman"/>
          <w:color w:val="auto"/>
        </w:rPr>
      </w:pPr>
      <w:r>
        <w:rPr>
          <w:rFonts w:hint="eastAsia" w:ascii="Times New Roman" w:hAnsi="Times New Roman" w:eastAsia="宋体" w:cs="Times New Roman"/>
          <w:color w:val="auto"/>
        </w:rPr>
        <w:br w:type="page"/>
      </w:r>
      <w:r>
        <w:rPr>
          <w:rFonts w:hint="eastAsia" w:ascii="宋体" w:hAnsi="宋体" w:eastAsia="宋体" w:cs="宋体"/>
          <w:b/>
          <w:bCs/>
          <w:color w:val="auto"/>
          <w:sz w:val="24"/>
        </w:rPr>
        <w:t>（二）商务要求：</w:t>
      </w:r>
    </w:p>
    <w:p w14:paraId="04D3CBE8">
      <w:pPr>
        <w:widowControl/>
        <w:spacing w:line="360" w:lineRule="auto"/>
        <w:rPr>
          <w:rFonts w:ascii="宋体" w:hAnsi="宋体" w:eastAsia="宋体" w:cs="Times New Roman"/>
          <w:b/>
          <w:color w:val="auto"/>
          <w:sz w:val="24"/>
        </w:rPr>
      </w:pPr>
      <w:r>
        <w:rPr>
          <w:rFonts w:hint="eastAsia" w:ascii="宋体" w:hAnsi="宋体" w:eastAsia="宋体" w:cs="Times New Roman"/>
          <w:b/>
          <w:color w:val="auto"/>
          <w:sz w:val="24"/>
        </w:rPr>
        <w:t>1、</w:t>
      </w:r>
      <w:r>
        <w:rPr>
          <w:rFonts w:ascii="宋体" w:hAnsi="宋体" w:eastAsia="宋体" w:cs="Times New Roman"/>
          <w:b/>
          <w:color w:val="auto"/>
          <w:sz w:val="24"/>
        </w:rPr>
        <w:t>技术服务条款：</w:t>
      </w:r>
    </w:p>
    <w:p w14:paraId="5C1FE7A8">
      <w:pPr>
        <w:widowControl/>
        <w:spacing w:line="360" w:lineRule="auto"/>
        <w:rPr>
          <w:rFonts w:ascii="宋体" w:hAnsi="Times New Roman" w:eastAsia="宋体" w:cs="宋体"/>
          <w:b/>
          <w:bCs/>
          <w:color w:val="auto"/>
          <w:sz w:val="24"/>
        </w:rPr>
      </w:pPr>
      <w:r>
        <w:rPr>
          <w:rFonts w:hint="eastAsia" w:ascii="宋体" w:hAnsi="Times New Roman" w:eastAsia="宋体" w:cs="宋体"/>
          <w:b/>
          <w:bCs/>
          <w:color w:val="auto"/>
          <w:sz w:val="24"/>
        </w:rPr>
        <w:t>技术文件：</w:t>
      </w:r>
    </w:p>
    <w:p w14:paraId="3FD377BD">
      <w:pPr>
        <w:spacing w:line="360" w:lineRule="auto"/>
        <w:rPr>
          <w:rFonts w:ascii="宋体" w:hAnsi="宋体" w:eastAsia="宋体" w:cs="宋体"/>
          <w:bCs/>
          <w:color w:val="auto"/>
          <w:sz w:val="24"/>
        </w:rPr>
      </w:pPr>
      <w:r>
        <w:rPr>
          <w:rFonts w:hint="eastAsia" w:ascii="宋体" w:hAnsi="宋体" w:eastAsia="宋体" w:cs="宋体"/>
          <w:bCs/>
          <w:color w:val="auto"/>
          <w:sz w:val="24"/>
        </w:rPr>
        <w:t>1）合同生效后一个月内，中标人需提供详细的设备公共配套设施技术要求和设备布局尺寸图给采购人；</w:t>
      </w:r>
    </w:p>
    <w:p w14:paraId="28B041C7">
      <w:pPr>
        <w:spacing w:line="360" w:lineRule="auto"/>
        <w:rPr>
          <w:rFonts w:ascii="宋体" w:hAnsi="宋体" w:eastAsia="宋体" w:cs="宋体"/>
          <w:bCs/>
          <w:color w:val="auto"/>
          <w:sz w:val="24"/>
        </w:rPr>
      </w:pPr>
      <w:r>
        <w:rPr>
          <w:rFonts w:hint="eastAsia" w:ascii="宋体" w:hAnsi="宋体" w:eastAsia="宋体" w:cs="宋体"/>
          <w:bCs/>
          <w:color w:val="auto"/>
          <w:sz w:val="24"/>
        </w:rPr>
        <w:t>2）中标人需提供两套可用于超净间的中文或英文操作说明书,一套在合同签订后45天内提供给采购人，另一套随仪器包装提供给采购人；</w:t>
      </w:r>
    </w:p>
    <w:p w14:paraId="6D263512">
      <w:pPr>
        <w:spacing w:line="360" w:lineRule="auto"/>
        <w:rPr>
          <w:rFonts w:ascii="宋体" w:hAnsi="宋体" w:eastAsia="宋体" w:cs="宋体"/>
          <w:bCs/>
          <w:color w:val="auto"/>
          <w:sz w:val="24"/>
        </w:rPr>
      </w:pPr>
      <w:r>
        <w:rPr>
          <w:rFonts w:hint="eastAsia" w:ascii="宋体" w:hAnsi="宋体" w:eastAsia="宋体" w:cs="宋体"/>
          <w:bCs/>
          <w:color w:val="auto"/>
          <w:sz w:val="24"/>
        </w:rPr>
        <w:t>3）以上文件另需提供一份电子版文件；</w:t>
      </w:r>
    </w:p>
    <w:p w14:paraId="41DDEC0E">
      <w:pPr>
        <w:spacing w:line="360" w:lineRule="auto"/>
        <w:rPr>
          <w:rFonts w:ascii="Times New Roman" w:hAnsi="Times New Roman" w:eastAsia="宋体" w:cs="Times New Roman"/>
          <w:color w:val="auto"/>
        </w:rPr>
      </w:pPr>
      <w:r>
        <w:rPr>
          <w:rFonts w:hint="eastAsia" w:ascii="宋体" w:hAnsi="宋体" w:eastAsia="宋体" w:cs="宋体"/>
          <w:bCs/>
          <w:color w:val="auto"/>
          <w:sz w:val="24"/>
        </w:rPr>
        <w:t>4）中标人需提供中标设备的出厂验机报告。</w:t>
      </w:r>
    </w:p>
    <w:p w14:paraId="49B79EB1">
      <w:pPr>
        <w:widowControl/>
        <w:spacing w:line="360" w:lineRule="auto"/>
        <w:rPr>
          <w:rFonts w:ascii="宋体" w:hAnsi="宋体" w:eastAsia="宋体" w:cs="Times New Roman"/>
          <w:b/>
          <w:bCs/>
          <w:color w:val="auto"/>
          <w:sz w:val="24"/>
        </w:rPr>
      </w:pPr>
      <w:r>
        <w:rPr>
          <w:rFonts w:ascii="宋体" w:hAnsi="宋体" w:eastAsia="宋体" w:cs="Times New Roman"/>
          <w:b/>
          <w:bCs/>
          <w:color w:val="auto"/>
          <w:sz w:val="24"/>
        </w:rPr>
        <w:t xml:space="preserve">售后服务要求： </w:t>
      </w:r>
    </w:p>
    <w:p w14:paraId="401B337E">
      <w:pPr>
        <w:widowControl/>
        <w:tabs>
          <w:tab w:val="left" w:pos="0"/>
        </w:tabs>
        <w:spacing w:line="360" w:lineRule="auto"/>
        <w:jc w:val="left"/>
        <w:rPr>
          <w:rFonts w:ascii="宋体" w:hAnsi="宋体" w:eastAsia="宋体" w:cs="Times New Roman"/>
          <w:color w:val="auto"/>
          <w:sz w:val="24"/>
        </w:rPr>
      </w:pPr>
      <w:r>
        <w:rPr>
          <w:rFonts w:hint="eastAsia" w:ascii="宋体" w:hAnsi="宋体" w:eastAsia="宋体" w:cs="Times New Roman"/>
          <w:color w:val="auto"/>
          <w:sz w:val="24"/>
        </w:rPr>
        <w:t>1）供应商</w:t>
      </w:r>
      <w:r>
        <w:rPr>
          <w:rFonts w:ascii="宋体" w:hAnsi="宋体" w:eastAsia="宋体" w:cs="Times New Roman"/>
          <w:color w:val="auto"/>
          <w:sz w:val="24"/>
        </w:rPr>
        <w:t>售后服务响应时间：提供</w:t>
      </w:r>
      <w:r>
        <w:rPr>
          <w:rFonts w:hint="eastAsia" w:ascii="宋体" w:hAnsi="宋体" w:eastAsia="宋体" w:cs="Times New Roman"/>
          <w:color w:val="auto"/>
          <w:sz w:val="24"/>
        </w:rPr>
        <w:t>7*</w:t>
      </w:r>
      <w:r>
        <w:rPr>
          <w:rFonts w:ascii="宋体" w:hAnsi="宋体" w:eastAsia="宋体" w:cs="Times New Roman"/>
          <w:color w:val="auto"/>
          <w:sz w:val="24"/>
        </w:rPr>
        <w:t>24小时专线技术咨询服务，若电话咨询无法解决故障，则5个工作日内现场解决，重特大故障二周内现场解决。</w:t>
      </w:r>
    </w:p>
    <w:p w14:paraId="4D4DDDF9">
      <w:pPr>
        <w:widowControl/>
        <w:tabs>
          <w:tab w:val="left" w:pos="0"/>
        </w:tabs>
        <w:spacing w:line="360" w:lineRule="auto"/>
        <w:jc w:val="left"/>
        <w:rPr>
          <w:rFonts w:ascii="宋体" w:hAnsi="宋体" w:eastAsia="宋体" w:cs="Times New Roman"/>
          <w:color w:val="auto"/>
          <w:sz w:val="24"/>
        </w:rPr>
      </w:pPr>
      <w:r>
        <w:rPr>
          <w:rFonts w:hint="eastAsia" w:ascii="宋体" w:hAnsi="宋体" w:eastAsia="宋体" w:cs="Times New Roman"/>
          <w:color w:val="auto"/>
          <w:sz w:val="24"/>
        </w:rPr>
        <w:t>2）供应商应</w:t>
      </w:r>
      <w:r>
        <w:rPr>
          <w:rFonts w:ascii="宋体" w:hAnsi="宋体" w:eastAsia="宋体" w:cs="Times New Roman"/>
          <w:color w:val="auto"/>
          <w:sz w:val="24"/>
        </w:rPr>
        <w:t>提供</w:t>
      </w:r>
      <w:r>
        <w:rPr>
          <w:rFonts w:hint="eastAsia" w:ascii="宋体" w:hAnsi="宋体" w:eastAsia="宋体" w:cs="Times New Roman"/>
          <w:color w:val="auto"/>
          <w:sz w:val="24"/>
        </w:rPr>
        <w:t>热线电话</w:t>
      </w:r>
      <w:r>
        <w:rPr>
          <w:rFonts w:ascii="宋体" w:hAnsi="宋体" w:eastAsia="宋体" w:cs="Times New Roman"/>
          <w:color w:val="auto"/>
          <w:sz w:val="24"/>
        </w:rPr>
        <w:t>技术支持。</w:t>
      </w:r>
    </w:p>
    <w:p w14:paraId="2C735BE8">
      <w:pPr>
        <w:tabs>
          <w:tab w:val="left" w:pos="0"/>
        </w:tabs>
        <w:spacing w:line="360" w:lineRule="auto"/>
        <w:jc w:val="left"/>
        <w:rPr>
          <w:rFonts w:ascii="宋体" w:hAnsi="宋体" w:eastAsia="宋体" w:cs="Times New Roman"/>
          <w:color w:val="auto"/>
          <w:sz w:val="24"/>
        </w:rPr>
      </w:pPr>
      <w:r>
        <w:rPr>
          <w:rFonts w:hint="eastAsia" w:ascii="宋体" w:hAnsi="宋体" w:eastAsia="宋体" w:cs="Times New Roman"/>
          <w:color w:val="auto"/>
          <w:sz w:val="24"/>
        </w:rPr>
        <w:t>3）质保期</w:t>
      </w:r>
      <w:bookmarkStart w:id="2" w:name="OLE_LINK5"/>
      <w:r>
        <w:rPr>
          <w:rFonts w:hint="eastAsia" w:ascii="宋体" w:hAnsi="宋体" w:eastAsia="宋体" w:cs="Times New Roman"/>
          <w:color w:val="auto"/>
          <w:sz w:val="24"/>
        </w:rPr>
        <w:t>从验收合格之日起，</w:t>
      </w:r>
      <w:r>
        <w:rPr>
          <w:rFonts w:ascii="宋体" w:hAnsi="宋体" w:eastAsia="宋体" w:cs="Times New Roman"/>
          <w:color w:val="auto"/>
          <w:sz w:val="24"/>
        </w:rPr>
        <w:t>提供货物</w:t>
      </w:r>
      <w:r>
        <w:rPr>
          <w:rFonts w:hint="eastAsia" w:ascii="宋体" w:hAnsi="宋体" w:eastAsia="宋体" w:cs="Times New Roman"/>
          <w:color w:val="auto"/>
          <w:sz w:val="24"/>
        </w:rPr>
        <w:t>12个月</w:t>
      </w:r>
      <w:r>
        <w:rPr>
          <w:rFonts w:ascii="宋体" w:hAnsi="宋体" w:eastAsia="宋体" w:cs="Times New Roman"/>
          <w:color w:val="auto"/>
          <w:sz w:val="24"/>
        </w:rPr>
        <w:t>保修服务</w:t>
      </w:r>
      <w:bookmarkEnd w:id="2"/>
      <w:r>
        <w:rPr>
          <w:rFonts w:ascii="宋体" w:hAnsi="宋体" w:eastAsia="宋体" w:cs="Times New Roman"/>
          <w:color w:val="auto"/>
          <w:sz w:val="24"/>
        </w:rPr>
        <w:t>（保修期内免备件费和人工费）。质保期内正常使用中出现的任何故障，均可保证负责无偿调试及维修，所更换的部件可享受顺延保修期优惠，质保期后可享受优惠价格的零配件供应。</w:t>
      </w:r>
    </w:p>
    <w:p w14:paraId="76E9EDC9">
      <w:pPr>
        <w:pStyle w:val="10"/>
        <w:spacing w:after="0" w:line="360" w:lineRule="auto"/>
        <w:ind w:left="0" w:leftChars="0" w:firstLine="0" w:firstLineChars="0"/>
        <w:rPr>
          <w:rFonts w:hint="eastAsia" w:ascii="Times New Roman" w:hAnsi="Times New Roman" w:eastAsia="宋体" w:cs="Times New Roman"/>
          <w:color w:val="auto"/>
        </w:rPr>
      </w:pPr>
      <w:r>
        <w:rPr>
          <w:rFonts w:hint="eastAsia" w:ascii="宋体" w:hAnsi="Times New Roman" w:eastAsia="宋体" w:cs="宋体"/>
          <w:color w:val="auto"/>
          <w:sz w:val="24"/>
        </w:rPr>
        <w:t>4）软件与相关服务永久维护升级。</w:t>
      </w:r>
    </w:p>
    <w:p w14:paraId="13DF0A9E">
      <w:pPr>
        <w:widowControl/>
        <w:spacing w:line="360" w:lineRule="auto"/>
        <w:rPr>
          <w:rFonts w:ascii="宋体" w:hAnsi="宋体" w:eastAsia="宋体" w:cs="Times New Roman"/>
          <w:b/>
          <w:color w:val="auto"/>
          <w:sz w:val="24"/>
        </w:rPr>
      </w:pPr>
      <w:r>
        <w:rPr>
          <w:rFonts w:ascii="宋体" w:hAnsi="宋体" w:eastAsia="宋体" w:cs="Times New Roman"/>
          <w:b/>
          <w:color w:val="auto"/>
          <w:sz w:val="24"/>
        </w:rPr>
        <w:t>培训要求：</w:t>
      </w:r>
    </w:p>
    <w:p w14:paraId="77FEA323">
      <w:pPr>
        <w:spacing w:line="360" w:lineRule="auto"/>
        <w:ind w:firstLine="480" w:firstLineChars="200"/>
        <w:rPr>
          <w:rFonts w:hint="eastAsia" w:ascii="宋体" w:hAnsi="宋体" w:eastAsia="宋体" w:cs="宋体"/>
          <w:bCs/>
          <w:color w:val="auto"/>
          <w:sz w:val="24"/>
        </w:rPr>
      </w:pPr>
      <w:r>
        <w:rPr>
          <w:rFonts w:hint="eastAsia" w:ascii="宋体" w:hAnsi="宋体" w:eastAsia="宋体" w:cs="Times New Roman"/>
          <w:color w:val="auto"/>
          <w:sz w:val="24"/>
        </w:rPr>
        <w:t>提供技术工程师上门安装、调试及现场培训，培训涉及机器使用的各个方面：系统操作，机器维护等，根据客户的特殊需要，可以个性化定制课程内容，确保采购人能熟练掌握设备使用、数据分析及日常维护保养。培训次数不少于2次，总时间不少于 5天</w:t>
      </w:r>
      <w:r>
        <w:rPr>
          <w:rFonts w:hint="eastAsia" w:ascii="宋体" w:hAnsi="宋体" w:eastAsia="宋体" w:cs="宋体"/>
          <w:bCs/>
          <w:color w:val="auto"/>
          <w:sz w:val="24"/>
        </w:rPr>
        <w:t>。</w:t>
      </w:r>
    </w:p>
    <w:p w14:paraId="56024F9E">
      <w:pPr>
        <w:rPr>
          <w:rFonts w:ascii="Times New Roman" w:hAnsi="Times New Roman" w:eastAsia="宋体" w:cs="Times New Roman"/>
          <w:color w:val="auto"/>
        </w:rPr>
      </w:pPr>
    </w:p>
    <w:p w14:paraId="7E803822">
      <w:pPr>
        <w:widowControl/>
        <w:spacing w:line="360" w:lineRule="auto"/>
        <w:rPr>
          <w:rFonts w:ascii="宋体" w:hAnsi="宋体" w:eastAsia="宋体" w:cs="Times New Roman"/>
          <w:b/>
          <w:color w:val="auto"/>
          <w:sz w:val="24"/>
        </w:rPr>
      </w:pPr>
      <w:r>
        <w:rPr>
          <w:rFonts w:hint="eastAsia" w:ascii="宋体" w:hAnsi="宋体" w:eastAsia="宋体" w:cs="Times New Roman"/>
          <w:b/>
          <w:color w:val="auto"/>
          <w:sz w:val="24"/>
        </w:rPr>
        <w:t>2、</w:t>
      </w:r>
      <w:r>
        <w:rPr>
          <w:rFonts w:ascii="宋体" w:hAnsi="宋体" w:eastAsia="宋体" w:cs="Times New Roman"/>
          <w:b/>
          <w:color w:val="auto"/>
          <w:sz w:val="24"/>
        </w:rPr>
        <w:t>包装要求：</w:t>
      </w:r>
    </w:p>
    <w:p w14:paraId="409E30A4">
      <w:pPr>
        <w:widowControl/>
        <w:spacing w:line="360" w:lineRule="auto"/>
        <w:ind w:firstLine="480" w:firstLineChars="200"/>
        <w:rPr>
          <w:rFonts w:ascii="宋体" w:hAnsi="宋体" w:eastAsia="宋体" w:cs="Times New Roman"/>
          <w:color w:val="auto"/>
          <w:sz w:val="24"/>
        </w:rPr>
      </w:pPr>
      <w:r>
        <w:rPr>
          <w:rFonts w:ascii="宋体" w:hAnsi="宋体" w:eastAsia="宋体" w:cs="Times New Roman"/>
          <w:color w:val="auto"/>
          <w:sz w:val="24"/>
        </w:rPr>
        <w:t>应使用崭新坚固的包装（标准包装），适合于空运、或陆运等长途运输方式；适合气候变化；投标商应对任何由于不当包装或防护措施不利而导致的商品损坏、损失、费用增长等后果负责。</w:t>
      </w:r>
    </w:p>
    <w:p w14:paraId="75E64C39">
      <w:pPr>
        <w:rPr>
          <w:rFonts w:ascii="Times New Roman" w:hAnsi="Times New Roman" w:eastAsia="宋体" w:cs="Times New Roman"/>
          <w:color w:val="auto"/>
        </w:rPr>
      </w:pPr>
    </w:p>
    <w:p w14:paraId="720CDEFE">
      <w:pPr>
        <w:widowControl/>
        <w:spacing w:line="360" w:lineRule="auto"/>
        <w:rPr>
          <w:rStyle w:val="8"/>
          <w:rFonts w:ascii="Times New Roman" w:hAnsi="Times New Roman" w:eastAsia="宋体" w:cs="Times New Roman"/>
          <w:color w:val="auto"/>
          <w:sz w:val="24"/>
        </w:rPr>
      </w:pPr>
      <w:r>
        <w:rPr>
          <w:rFonts w:hint="eastAsia" w:ascii="宋体" w:hAnsi="宋体" w:eastAsia="宋体" w:cs="Times New Roman"/>
          <w:b/>
          <w:color w:val="auto"/>
          <w:sz w:val="24"/>
        </w:rPr>
        <w:t>3、</w:t>
      </w:r>
      <w:r>
        <w:rPr>
          <w:rFonts w:ascii="宋体" w:hAnsi="宋体" w:eastAsia="宋体" w:cs="Times New Roman"/>
          <w:b/>
          <w:color w:val="auto"/>
          <w:sz w:val="24"/>
        </w:rPr>
        <w:t>交货日期：</w:t>
      </w:r>
    </w:p>
    <w:p w14:paraId="5C096BFD">
      <w:pPr>
        <w:autoSpaceDE w:val="0"/>
        <w:autoSpaceDN w:val="0"/>
        <w:spacing w:line="360" w:lineRule="auto"/>
        <w:rPr>
          <w:rFonts w:ascii="宋体" w:hAnsi="宋体" w:eastAsia="宋体" w:cs="Times New Roman"/>
          <w:color w:val="auto"/>
          <w:sz w:val="24"/>
        </w:rPr>
      </w:pPr>
      <w:r>
        <w:rPr>
          <w:rFonts w:ascii="宋体" w:hAnsi="宋体" w:eastAsia="宋体" w:cs="Times New Roman"/>
          <w:color w:val="auto"/>
          <w:sz w:val="24"/>
        </w:rPr>
        <w:t>合同签订后的</w:t>
      </w:r>
      <w:r>
        <w:rPr>
          <w:rFonts w:hint="eastAsia" w:ascii="宋体" w:hAnsi="宋体" w:eastAsia="宋体" w:cs="Times New Roman"/>
          <w:color w:val="auto"/>
          <w:sz w:val="24"/>
        </w:rPr>
        <w:t>6</w:t>
      </w:r>
      <w:r>
        <w:rPr>
          <w:rFonts w:ascii="宋体" w:hAnsi="宋体" w:eastAsia="宋体" w:cs="Times New Roman"/>
          <w:color w:val="auto"/>
          <w:sz w:val="24"/>
        </w:rPr>
        <w:t>个月</w:t>
      </w:r>
      <w:r>
        <w:rPr>
          <w:rFonts w:hint="eastAsia" w:ascii="宋体" w:hAnsi="宋体" w:eastAsia="宋体" w:cs="Times New Roman"/>
          <w:color w:val="auto"/>
          <w:sz w:val="24"/>
        </w:rPr>
        <w:t>内</w:t>
      </w:r>
      <w:r>
        <w:rPr>
          <w:rFonts w:ascii="宋体" w:hAnsi="宋体" w:eastAsia="宋体" w:cs="Times New Roman"/>
          <w:color w:val="auto"/>
          <w:sz w:val="24"/>
        </w:rPr>
        <w:t>交货；</w:t>
      </w:r>
    </w:p>
    <w:p w14:paraId="602FFC5E">
      <w:pPr>
        <w:widowControl/>
        <w:spacing w:line="360" w:lineRule="auto"/>
        <w:rPr>
          <w:rFonts w:hint="eastAsia" w:ascii="宋体" w:hAnsi="宋体" w:eastAsia="宋体" w:cs="Times New Roman"/>
          <w:color w:val="auto"/>
          <w:sz w:val="24"/>
        </w:rPr>
      </w:pPr>
      <w:bookmarkStart w:id="3" w:name="OLE_LINK3"/>
      <w:r>
        <w:rPr>
          <w:rFonts w:hint="eastAsia" w:ascii="宋体" w:hAnsi="宋体" w:eastAsia="宋体" w:cs="Times New Roman"/>
          <w:b/>
          <w:color w:val="auto"/>
          <w:sz w:val="24"/>
        </w:rPr>
        <w:t>4、</w:t>
      </w:r>
      <w:r>
        <w:rPr>
          <w:rFonts w:ascii="宋体" w:hAnsi="宋体" w:eastAsia="宋体" w:cs="Times New Roman"/>
          <w:b/>
          <w:color w:val="auto"/>
          <w:sz w:val="24"/>
        </w:rPr>
        <w:t>交货地点：</w:t>
      </w:r>
      <w:bookmarkEnd w:id="3"/>
      <w:r>
        <w:rPr>
          <w:rFonts w:hint="eastAsia" w:ascii="宋体" w:hAnsi="宋体" w:eastAsia="宋体" w:cs="Times New Roman"/>
          <w:color w:val="auto"/>
          <w:sz w:val="24"/>
        </w:rPr>
        <w:t>中国科学院微电子研究所用户指定地点</w:t>
      </w:r>
    </w:p>
    <w:p w14:paraId="690A8A79">
      <w:pPr>
        <w:rPr>
          <w:rFonts w:ascii="Times New Roman" w:hAnsi="Times New Roman" w:eastAsia="宋体" w:cs="Times New Roman"/>
          <w:color w:val="auto"/>
        </w:rPr>
      </w:pPr>
    </w:p>
    <w:p w14:paraId="420871A8">
      <w:pPr>
        <w:widowControl/>
        <w:spacing w:line="360" w:lineRule="auto"/>
        <w:rPr>
          <w:rFonts w:ascii="宋体" w:hAnsi="宋体" w:eastAsia="宋体" w:cs="Times New Roman"/>
          <w:b/>
          <w:color w:val="auto"/>
          <w:sz w:val="24"/>
        </w:rPr>
      </w:pPr>
      <w:r>
        <w:rPr>
          <w:rFonts w:hint="eastAsia" w:ascii="宋体" w:hAnsi="宋体" w:eastAsia="宋体" w:cs="Times New Roman"/>
          <w:b/>
          <w:color w:val="auto"/>
          <w:sz w:val="24"/>
        </w:rPr>
        <w:t>5、</w:t>
      </w:r>
      <w:r>
        <w:rPr>
          <w:rFonts w:ascii="宋体" w:hAnsi="宋体" w:eastAsia="宋体" w:cs="Times New Roman"/>
          <w:b/>
          <w:color w:val="auto"/>
          <w:sz w:val="24"/>
        </w:rPr>
        <w:t>验收标准：</w:t>
      </w:r>
    </w:p>
    <w:p w14:paraId="01678A7E">
      <w:pPr>
        <w:spacing w:line="360" w:lineRule="auto"/>
        <w:rPr>
          <w:rFonts w:ascii="宋体" w:hAnsi="宋体" w:eastAsia="宋体" w:cs="Times New Roman"/>
          <w:color w:val="auto"/>
          <w:sz w:val="24"/>
        </w:rPr>
      </w:pPr>
      <w:r>
        <w:rPr>
          <w:rFonts w:hint="eastAsia" w:ascii="宋体" w:hAnsi="宋体" w:eastAsia="宋体" w:cs="Times New Roman"/>
          <w:color w:val="auto"/>
          <w:sz w:val="24"/>
        </w:rPr>
        <w:t>1）</w:t>
      </w:r>
      <w:r>
        <w:rPr>
          <w:rFonts w:hint="eastAsia" w:ascii="宋体" w:hAnsi="Times New Roman" w:eastAsia="宋体" w:cs="Times New Roman"/>
          <w:color w:val="auto"/>
          <w:sz w:val="24"/>
        </w:rPr>
        <w:t>仪器设备出厂发货前，供应商应与采购方共同到场验收，出厂验收合格后，再进行发货；仪器设备运抵安装现场后，采购人将与供应商共同开箱验收,并形成经双方认可的记录，如供应商届时不派人来,则验收结果应以采购人的验收报告为最终验收结果。验收时发现短缺、破损,采购人有权要求供应商立即补发和负责更换。</w:t>
      </w:r>
    </w:p>
    <w:p w14:paraId="405CCB35">
      <w:pPr>
        <w:widowControl/>
        <w:tabs>
          <w:tab w:val="left" w:pos="0"/>
        </w:tabs>
        <w:spacing w:line="360" w:lineRule="auto"/>
        <w:jc w:val="left"/>
        <w:rPr>
          <w:rFonts w:ascii="宋体" w:hAnsi="宋体" w:eastAsia="宋体" w:cs="Times New Roman"/>
          <w:color w:val="auto"/>
          <w:sz w:val="24"/>
        </w:rPr>
      </w:pPr>
      <w:r>
        <w:rPr>
          <w:rFonts w:hint="eastAsia" w:ascii="宋体" w:hAnsi="宋体" w:eastAsia="宋体" w:cs="Times New Roman"/>
          <w:color w:val="auto"/>
          <w:sz w:val="24"/>
        </w:rPr>
        <w:t>2）</w:t>
      </w:r>
      <w:r>
        <w:rPr>
          <w:rFonts w:ascii="宋体" w:hAnsi="宋体" w:eastAsia="宋体" w:cs="Times New Roman"/>
          <w:color w:val="auto"/>
          <w:sz w:val="24"/>
        </w:rPr>
        <w:t>供应商应提</w:t>
      </w:r>
      <w:r>
        <w:rPr>
          <w:rFonts w:hint="eastAsia" w:ascii="宋体" w:hAnsi="宋体" w:eastAsia="宋体" w:cs="Times New Roman"/>
          <w:color w:val="auto"/>
          <w:sz w:val="24"/>
        </w:rPr>
        <w:t>供</w:t>
      </w:r>
      <w:r>
        <w:rPr>
          <w:rFonts w:ascii="宋体" w:hAnsi="宋体" w:eastAsia="宋体" w:cs="Times New Roman"/>
          <w:color w:val="auto"/>
          <w:sz w:val="24"/>
        </w:rPr>
        <w:t>仪器设备测试</w:t>
      </w:r>
      <w:r>
        <w:rPr>
          <w:rFonts w:hint="eastAsia" w:ascii="宋体" w:hAnsi="宋体" w:eastAsia="宋体" w:cs="Times New Roman"/>
          <w:color w:val="auto"/>
          <w:sz w:val="24"/>
        </w:rPr>
        <w:t>方案给采购人确认</w:t>
      </w:r>
      <w:r>
        <w:rPr>
          <w:rFonts w:ascii="宋体" w:hAnsi="宋体" w:eastAsia="宋体" w:cs="Times New Roman"/>
          <w:color w:val="auto"/>
          <w:sz w:val="24"/>
        </w:rPr>
        <w:t>,供应商有责任对采购人的技术人员提出的问题作出解答。</w:t>
      </w:r>
      <w:r>
        <w:rPr>
          <w:rFonts w:hint="eastAsia" w:ascii="宋体" w:hAnsi="宋体" w:eastAsia="宋体" w:cs="Times New Roman"/>
          <w:color w:val="auto"/>
          <w:sz w:val="24"/>
        </w:rPr>
        <w:t>仪器设备</w:t>
      </w:r>
      <w:r>
        <w:rPr>
          <w:rFonts w:ascii="宋体" w:hAnsi="宋体" w:eastAsia="宋体" w:cs="Times New Roman"/>
          <w:color w:val="auto"/>
          <w:sz w:val="24"/>
        </w:rPr>
        <w:t>测试应进行详细记录,测试结束后,由供应商技术人员签字后交给采购人验收。</w:t>
      </w:r>
    </w:p>
    <w:p w14:paraId="73B8D35E">
      <w:pPr>
        <w:widowControl/>
        <w:tabs>
          <w:tab w:val="left" w:pos="0"/>
        </w:tabs>
        <w:spacing w:line="360" w:lineRule="auto"/>
        <w:jc w:val="left"/>
        <w:rPr>
          <w:rFonts w:ascii="宋体" w:hAnsi="宋体" w:eastAsia="宋体" w:cs="Times New Roman"/>
          <w:color w:val="auto"/>
          <w:sz w:val="24"/>
        </w:rPr>
      </w:pPr>
      <w:r>
        <w:rPr>
          <w:rFonts w:hint="eastAsia" w:ascii="宋体" w:hAnsi="宋体" w:eastAsia="宋体" w:cs="Times New Roman"/>
          <w:color w:val="auto"/>
          <w:sz w:val="24"/>
        </w:rPr>
        <w:t>3）</w:t>
      </w:r>
      <w:r>
        <w:rPr>
          <w:rFonts w:ascii="宋体" w:hAnsi="宋体" w:eastAsia="宋体" w:cs="Times New Roman"/>
          <w:color w:val="auto"/>
          <w:sz w:val="24"/>
        </w:rPr>
        <w:t>保修期自</w:t>
      </w:r>
      <w:r>
        <w:rPr>
          <w:rFonts w:hint="eastAsia" w:ascii="宋体" w:hAnsi="宋体" w:eastAsia="宋体" w:cs="Times New Roman"/>
          <w:color w:val="auto"/>
          <w:sz w:val="24"/>
        </w:rPr>
        <w:t>验货合格之日</w:t>
      </w:r>
      <w:r>
        <w:rPr>
          <w:rFonts w:ascii="宋体" w:hAnsi="宋体" w:eastAsia="宋体" w:cs="Times New Roman"/>
          <w:color w:val="auto"/>
          <w:sz w:val="24"/>
        </w:rPr>
        <w:t>开始，保修期内供应商要保修除消耗品以外的所有部件。在保修期内，如果仪器设备发生故障，供应商要调查故障原因并修复直至满足最终验收指标和性能的要求</w:t>
      </w:r>
      <w:r>
        <w:rPr>
          <w:rFonts w:hint="eastAsia" w:ascii="宋体" w:hAnsi="宋体" w:eastAsia="宋体" w:cs="Times New Roman"/>
          <w:color w:val="auto"/>
          <w:sz w:val="24"/>
        </w:rPr>
        <w:t>。如需</w:t>
      </w:r>
      <w:r>
        <w:rPr>
          <w:rFonts w:ascii="宋体" w:hAnsi="宋体" w:eastAsia="宋体" w:cs="Times New Roman"/>
          <w:color w:val="auto"/>
          <w:sz w:val="24"/>
        </w:rPr>
        <w:t xml:space="preserve">更换整个或部分有缺陷的材料。以上都应是免费的。 </w:t>
      </w:r>
    </w:p>
    <w:p w14:paraId="71029AEA">
      <w:pPr>
        <w:spacing w:line="360" w:lineRule="auto"/>
        <w:rPr>
          <w:rFonts w:ascii="宋体" w:hAnsi="宋体" w:eastAsia="宋体" w:cs="Times New Roman"/>
          <w:color w:val="auto"/>
          <w:sz w:val="24"/>
        </w:rPr>
      </w:pPr>
      <w:r>
        <w:rPr>
          <w:rFonts w:hint="eastAsia" w:ascii="宋体" w:hAnsi="宋体" w:eastAsia="宋体" w:cs="Times New Roman"/>
          <w:color w:val="auto"/>
          <w:sz w:val="24"/>
        </w:rPr>
        <w:t>4）验收标准以中标人提供的投标文件中所列的指标为准</w:t>
      </w:r>
    </w:p>
    <w:p w14:paraId="18EEE2CD">
      <w:pPr>
        <w:spacing w:line="360" w:lineRule="auto"/>
        <w:rPr>
          <w:rFonts w:ascii="宋体" w:hAnsi="宋体" w:eastAsia="宋体" w:cs="Times New Roman"/>
          <w:color w:val="auto"/>
          <w:sz w:val="24"/>
        </w:rPr>
      </w:pPr>
      <w:r>
        <w:rPr>
          <w:rFonts w:ascii="宋体" w:hAnsi="宋体" w:eastAsia="宋体" w:cs="Times New Roman"/>
          <w:color w:val="auto"/>
          <w:sz w:val="24"/>
        </w:rPr>
        <w:t>5</w:t>
      </w:r>
      <w:r>
        <w:rPr>
          <w:rFonts w:hint="eastAsia" w:ascii="宋体" w:hAnsi="宋体" w:eastAsia="宋体" w:cs="Times New Roman"/>
          <w:color w:val="auto"/>
          <w:sz w:val="24"/>
        </w:rPr>
        <w:t>）</w:t>
      </w:r>
      <w:r>
        <w:rPr>
          <w:rFonts w:ascii="宋体" w:hAnsi="宋体" w:eastAsia="宋体" w:cs="Times New Roman"/>
          <w:color w:val="auto"/>
          <w:sz w:val="24"/>
        </w:rPr>
        <w:t>验收由采购人、中标人及相关人员依国家有关标准、合同及有关附件要求进行，验收完毕由采购人及中标人在验收报告上签名。</w:t>
      </w:r>
    </w:p>
    <w:p w14:paraId="03A48A1C">
      <w:pPr>
        <w:spacing w:line="360" w:lineRule="auto"/>
        <w:rPr>
          <w:rFonts w:ascii="宋体" w:hAnsi="宋体" w:eastAsia="宋体" w:cs="Times New Roman"/>
          <w:color w:val="auto"/>
          <w:sz w:val="24"/>
        </w:rPr>
      </w:pPr>
      <w:r>
        <w:rPr>
          <w:rFonts w:ascii="宋体" w:hAnsi="宋体" w:eastAsia="宋体" w:cs="Times New Roman"/>
          <w:color w:val="auto"/>
          <w:sz w:val="24"/>
        </w:rPr>
        <w:t>6）最终</w:t>
      </w:r>
      <w:r>
        <w:rPr>
          <w:rFonts w:hint="eastAsia" w:ascii="宋体" w:hAnsi="宋体" w:eastAsia="宋体" w:cs="Times New Roman"/>
          <w:color w:val="auto"/>
          <w:sz w:val="24"/>
        </w:rPr>
        <w:t>采购人</w:t>
      </w:r>
      <w:r>
        <w:rPr>
          <w:rFonts w:ascii="宋体" w:hAnsi="宋体" w:eastAsia="宋体" w:cs="Times New Roman"/>
          <w:color w:val="auto"/>
          <w:sz w:val="24"/>
        </w:rPr>
        <w:t>采购仪器设备无法达到正常使用条件，售后服务方在收到最终</w:t>
      </w:r>
      <w:r>
        <w:rPr>
          <w:rFonts w:hint="eastAsia" w:ascii="宋体" w:hAnsi="宋体" w:eastAsia="宋体" w:cs="Times New Roman"/>
          <w:color w:val="auto"/>
          <w:sz w:val="24"/>
        </w:rPr>
        <w:t>采购人</w:t>
      </w:r>
      <w:r>
        <w:rPr>
          <w:rFonts w:ascii="宋体" w:hAnsi="宋体" w:eastAsia="宋体" w:cs="Times New Roman"/>
          <w:color w:val="auto"/>
          <w:sz w:val="24"/>
        </w:rPr>
        <w:t>通知后应及时妥善解决，</w:t>
      </w:r>
      <w:r>
        <w:rPr>
          <w:rFonts w:hint="eastAsia" w:ascii="宋体" w:hAnsi="宋体" w:eastAsia="宋体" w:cs="Times New Roman"/>
          <w:color w:val="auto"/>
          <w:sz w:val="24"/>
        </w:rPr>
        <w:t>响应时间</w:t>
      </w:r>
      <w:r>
        <w:rPr>
          <w:rFonts w:ascii="宋体" w:hAnsi="宋体" w:eastAsia="宋体" w:cs="Times New Roman"/>
          <w:color w:val="auto"/>
          <w:sz w:val="24"/>
        </w:rPr>
        <w:t>不超过48小时，经两次售后维修未能达到最终</w:t>
      </w:r>
      <w:r>
        <w:rPr>
          <w:rFonts w:hint="eastAsia" w:ascii="宋体" w:hAnsi="宋体" w:eastAsia="宋体" w:cs="Times New Roman"/>
          <w:color w:val="auto"/>
          <w:sz w:val="24"/>
        </w:rPr>
        <w:t>采购人</w:t>
      </w:r>
      <w:r>
        <w:rPr>
          <w:rFonts w:ascii="宋体" w:hAnsi="宋体" w:eastAsia="宋体" w:cs="Times New Roman"/>
          <w:color w:val="auto"/>
          <w:sz w:val="24"/>
        </w:rPr>
        <w:t>认可的使用条件时，或以上情形发生后10日内依旧未能解决的，最终</w:t>
      </w:r>
      <w:r>
        <w:rPr>
          <w:rFonts w:hint="eastAsia" w:ascii="宋体" w:hAnsi="宋体" w:eastAsia="宋体" w:cs="Times New Roman"/>
          <w:color w:val="auto"/>
          <w:sz w:val="24"/>
        </w:rPr>
        <w:t>采购人</w:t>
      </w:r>
      <w:r>
        <w:rPr>
          <w:rFonts w:ascii="宋体" w:hAnsi="宋体" w:eastAsia="宋体" w:cs="Times New Roman"/>
          <w:color w:val="auto"/>
          <w:sz w:val="24"/>
        </w:rPr>
        <w:t>有权要求卖方更换符合招标要求的设备、并承担更换的费用，如果更换后依旧不能达到甲方认可的使用条件的，</w:t>
      </w:r>
      <w:r>
        <w:rPr>
          <w:rFonts w:hint="eastAsia" w:ascii="宋体" w:hAnsi="宋体" w:eastAsia="宋体" w:cs="Times New Roman"/>
          <w:color w:val="auto"/>
          <w:sz w:val="24"/>
        </w:rPr>
        <w:t>采购人</w:t>
      </w:r>
      <w:r>
        <w:rPr>
          <w:rFonts w:ascii="宋体" w:hAnsi="宋体" w:eastAsia="宋体" w:cs="Times New Roman"/>
          <w:color w:val="auto"/>
          <w:sz w:val="24"/>
        </w:rPr>
        <w:t>有权启动退货程序，根据法律规定的退货产生的全部费用由卖方承担，包括但不限于律师费，诉讼费、担保费、公证费、差旅费等合理费用。</w:t>
      </w:r>
    </w:p>
    <w:p w14:paraId="0EE04718">
      <w:pPr>
        <w:rPr>
          <w:rFonts w:ascii="Times New Roman" w:hAnsi="Times New Roman" w:eastAsia="宋体" w:cs="Times New Roman"/>
          <w:color w:val="auto"/>
        </w:rPr>
      </w:pPr>
    </w:p>
    <w:p w14:paraId="18BD3477">
      <w:pPr>
        <w:widowControl/>
        <w:spacing w:line="360" w:lineRule="auto"/>
        <w:rPr>
          <w:rFonts w:hint="eastAsia" w:ascii="宋体" w:hAnsi="宋体" w:eastAsia="宋体" w:cs="Times New Roman"/>
          <w:bCs/>
          <w:color w:val="auto"/>
          <w:sz w:val="24"/>
        </w:rPr>
      </w:pPr>
      <w:r>
        <w:rPr>
          <w:rFonts w:hint="eastAsia" w:ascii="宋体" w:hAnsi="宋体" w:eastAsia="宋体" w:cs="Times New Roman"/>
          <w:b/>
          <w:color w:val="auto"/>
          <w:sz w:val="24"/>
        </w:rPr>
        <w:t>6、执行的相关标准：</w:t>
      </w:r>
      <w:r>
        <w:rPr>
          <w:rFonts w:hint="eastAsia" w:ascii="宋体" w:hAnsi="宋体" w:eastAsia="宋体" w:cs="Times New Roman"/>
          <w:bCs/>
          <w:color w:val="auto"/>
          <w:sz w:val="24"/>
        </w:rPr>
        <w:t>无</w:t>
      </w:r>
    </w:p>
    <w:p w14:paraId="10AEEFC6">
      <w:pPr>
        <w:rPr>
          <w:rFonts w:ascii="Times New Roman" w:hAnsi="Times New Roman" w:eastAsia="宋体" w:cs="Times New Roman"/>
          <w:color w:val="auto"/>
        </w:rPr>
      </w:pPr>
    </w:p>
    <w:p w14:paraId="46B2E9D9">
      <w:pPr>
        <w:widowControl/>
        <w:spacing w:line="360" w:lineRule="auto"/>
        <w:rPr>
          <w:rFonts w:ascii="宋体" w:hAnsi="宋体" w:eastAsia="宋体" w:cs="Times New Roman"/>
          <w:b/>
          <w:color w:val="auto"/>
          <w:sz w:val="24"/>
        </w:rPr>
      </w:pPr>
      <w:r>
        <w:rPr>
          <w:rFonts w:ascii="宋体" w:hAnsi="宋体" w:eastAsia="宋体" w:cs="Times New Roman"/>
          <w:b/>
          <w:color w:val="auto"/>
          <w:sz w:val="24"/>
        </w:rPr>
        <w:t>7</w:t>
      </w:r>
      <w:r>
        <w:rPr>
          <w:rFonts w:hint="eastAsia" w:ascii="宋体" w:hAnsi="宋体" w:eastAsia="宋体" w:cs="Times New Roman"/>
          <w:b/>
          <w:color w:val="auto"/>
          <w:sz w:val="24"/>
        </w:rPr>
        <w:t>、</w:t>
      </w:r>
      <w:r>
        <w:rPr>
          <w:rFonts w:ascii="宋体" w:hAnsi="宋体" w:eastAsia="宋体" w:cs="Times New Roman"/>
          <w:b/>
          <w:color w:val="auto"/>
          <w:sz w:val="24"/>
        </w:rPr>
        <w:t>其它</w:t>
      </w:r>
    </w:p>
    <w:p w14:paraId="0136DEDD">
      <w:pPr>
        <w:widowControl/>
        <w:spacing w:line="360" w:lineRule="auto"/>
        <w:rPr>
          <w:rFonts w:ascii="宋体" w:hAnsi="宋体" w:eastAsia="宋体" w:cs="Times New Roman"/>
          <w:color w:val="auto"/>
          <w:sz w:val="24"/>
        </w:rPr>
      </w:pPr>
      <w:r>
        <w:rPr>
          <w:rFonts w:ascii="宋体" w:hAnsi="宋体" w:eastAsia="宋体" w:cs="Times New Roman"/>
          <w:color w:val="auto"/>
          <w:sz w:val="24"/>
        </w:rPr>
        <w:t>对仪器设备生产厂家要求：</w:t>
      </w:r>
    </w:p>
    <w:p w14:paraId="13EB2D2D">
      <w:pPr>
        <w:widowControl/>
        <w:tabs>
          <w:tab w:val="left" w:pos="0"/>
          <w:tab w:val="left" w:pos="396"/>
        </w:tabs>
        <w:spacing w:line="360" w:lineRule="auto"/>
        <w:rPr>
          <w:rFonts w:ascii="宋体" w:hAnsi="宋体" w:eastAsia="宋体" w:cs="Times New Roman"/>
          <w:color w:val="auto"/>
          <w:sz w:val="24"/>
        </w:rPr>
      </w:pPr>
      <w:r>
        <w:rPr>
          <w:rFonts w:ascii="宋体" w:hAnsi="宋体" w:eastAsia="宋体" w:cs="Times New Roman"/>
          <w:color w:val="auto"/>
          <w:sz w:val="24"/>
        </w:rPr>
        <w:t>1）厂家应具备一定规模的科研、生产、技术支持及售后服务能力。</w:t>
      </w:r>
    </w:p>
    <w:p w14:paraId="794454D7">
      <w:pPr>
        <w:widowControl/>
        <w:tabs>
          <w:tab w:val="left" w:pos="0"/>
        </w:tabs>
        <w:spacing w:line="360" w:lineRule="auto"/>
        <w:rPr>
          <w:rFonts w:ascii="宋体" w:hAnsi="宋体" w:eastAsia="宋体" w:cs="Times New Roman"/>
          <w:color w:val="auto"/>
          <w:sz w:val="24"/>
        </w:rPr>
      </w:pPr>
      <w:r>
        <w:rPr>
          <w:rFonts w:hint="eastAsia" w:ascii="宋体" w:hAnsi="宋体" w:eastAsia="宋体" w:cs="Times New Roman"/>
          <w:color w:val="auto"/>
          <w:sz w:val="24"/>
        </w:rPr>
        <w:t>2）</w:t>
      </w:r>
      <w:r>
        <w:rPr>
          <w:rFonts w:ascii="宋体" w:hAnsi="宋体" w:eastAsia="宋体" w:cs="Times New Roman"/>
          <w:color w:val="auto"/>
          <w:sz w:val="24"/>
        </w:rPr>
        <w:t>厂家在</w:t>
      </w:r>
      <w:r>
        <w:rPr>
          <w:rFonts w:hint="eastAsia" w:ascii="宋体" w:hAnsi="宋体" w:eastAsia="宋体" w:cs="Times New Roman"/>
          <w:color w:val="auto"/>
          <w:sz w:val="24"/>
        </w:rPr>
        <w:t>中国境</w:t>
      </w:r>
      <w:r>
        <w:rPr>
          <w:rFonts w:ascii="宋体" w:hAnsi="宋体" w:eastAsia="宋体" w:cs="Times New Roman"/>
          <w:color w:val="auto"/>
          <w:sz w:val="24"/>
        </w:rPr>
        <w:t>内设有技术支持中心及维修中心。</w:t>
      </w:r>
    </w:p>
    <w:p w14:paraId="0445B38E">
      <w:pPr>
        <w:rPr>
          <w:rFonts w:ascii="Times New Roman" w:hAnsi="Times New Roman" w:eastAsia="宋体" w:cs="Times New Roman"/>
          <w:color w:val="auto"/>
        </w:rPr>
      </w:pPr>
    </w:p>
    <w:p w14:paraId="6E8236C1">
      <w:pPr>
        <w:spacing w:line="360" w:lineRule="auto"/>
        <w:rPr>
          <w:rFonts w:ascii="宋体" w:hAnsi="宋体" w:eastAsia="宋体" w:cs="Times New Roman"/>
          <w:color w:val="auto"/>
          <w:sz w:val="24"/>
        </w:rPr>
      </w:pPr>
      <w:r>
        <w:rPr>
          <w:rFonts w:ascii="宋体" w:hAnsi="宋体" w:eastAsia="宋体" w:cs="宋体"/>
          <w:b/>
          <w:bCs/>
          <w:color w:val="auto"/>
          <w:kern w:val="0"/>
          <w:sz w:val="24"/>
        </w:rPr>
        <w:t>8</w:t>
      </w:r>
      <w:r>
        <w:rPr>
          <w:rFonts w:hint="eastAsia" w:ascii="宋体" w:hAnsi="宋体" w:eastAsia="宋体" w:cs="宋体"/>
          <w:b/>
          <w:bCs/>
          <w:color w:val="auto"/>
          <w:kern w:val="0"/>
          <w:sz w:val="24"/>
        </w:rPr>
        <w:t>、付款方式：</w:t>
      </w:r>
      <w:r>
        <w:rPr>
          <w:rFonts w:hint="eastAsia" w:ascii="宋体" w:hAnsi="宋体" w:eastAsia="宋体" w:cs="Times New Roman"/>
          <w:color w:val="auto"/>
          <w:sz w:val="24"/>
        </w:rPr>
        <w:t>合同签订后30%预付，到货后支付60%，验收合格后支付10%；</w:t>
      </w:r>
    </w:p>
    <w:p w14:paraId="366E3C4D">
      <w:pPr>
        <w:rPr>
          <w:rFonts w:ascii="Times New Roman" w:hAnsi="Times New Roman" w:eastAsia="宋体" w:cs="Times New Roman"/>
          <w:color w:val="auto"/>
        </w:rPr>
      </w:pPr>
    </w:p>
    <w:p w14:paraId="70DC1C91">
      <w:pPr>
        <w:widowControl/>
        <w:tabs>
          <w:tab w:val="left" w:pos="0"/>
        </w:tabs>
        <w:spacing w:line="360" w:lineRule="auto"/>
        <w:jc w:val="left"/>
        <w:rPr>
          <w:rFonts w:ascii="宋体" w:hAnsi="宋体" w:eastAsia="宋体" w:cs="Times New Roman"/>
          <w:b/>
          <w:bCs/>
          <w:color w:val="auto"/>
          <w:sz w:val="24"/>
        </w:rPr>
      </w:pPr>
      <w:r>
        <w:rPr>
          <w:rFonts w:hint="eastAsia" w:ascii="宋体" w:hAnsi="宋体" w:eastAsia="宋体" w:cs="宋体"/>
          <w:b/>
          <w:bCs/>
          <w:color w:val="auto"/>
          <w:kern w:val="0"/>
          <w:sz w:val="24"/>
        </w:rPr>
        <w:t>★</w:t>
      </w:r>
      <w:r>
        <w:rPr>
          <w:rFonts w:ascii="宋体" w:hAnsi="宋体" w:eastAsia="宋体" w:cs="宋体"/>
          <w:b/>
          <w:bCs/>
          <w:color w:val="auto"/>
          <w:kern w:val="0"/>
          <w:sz w:val="24"/>
        </w:rPr>
        <w:t>9</w:t>
      </w:r>
      <w:r>
        <w:rPr>
          <w:rFonts w:hint="eastAsia" w:ascii="宋体" w:hAnsi="宋体" w:eastAsia="宋体" w:cs="Times New Roman"/>
          <w:b/>
          <w:bCs/>
          <w:color w:val="auto"/>
          <w:sz w:val="24"/>
        </w:rPr>
        <w:t>、投标报价要求：</w:t>
      </w:r>
    </w:p>
    <w:p w14:paraId="60B525BB">
      <w:pPr>
        <w:widowControl/>
        <w:tabs>
          <w:tab w:val="left" w:pos="900"/>
        </w:tabs>
        <w:spacing w:line="360" w:lineRule="auto"/>
        <w:jc w:val="left"/>
        <w:rPr>
          <w:rFonts w:hint="eastAsia" w:ascii="宋体" w:hAnsi="宋体" w:eastAsia="宋体" w:cs="宋体"/>
          <w:color w:val="auto"/>
          <w:sz w:val="24"/>
        </w:rPr>
      </w:pPr>
      <w:r>
        <w:rPr>
          <w:rFonts w:hint="eastAsia" w:ascii="宋体" w:hAnsi="宋体" w:eastAsia="宋体" w:cs="宋体"/>
          <w:color w:val="auto"/>
          <w:sz w:val="24"/>
        </w:rPr>
        <w:t>（1）本项目不允许采购进口产品（进口产品是指通过中国海关报关验放进入中国境内且产自关境外的产品）</w:t>
      </w:r>
    </w:p>
    <w:p w14:paraId="0F47707A">
      <w:pPr>
        <w:tabs>
          <w:tab w:val="left" w:pos="900"/>
        </w:tabs>
        <w:spacing w:line="360" w:lineRule="auto"/>
        <w:rPr>
          <w:rFonts w:hint="eastAsia" w:ascii="宋体" w:hAnsi="宋体" w:eastAsia="宋体" w:cs="宋体"/>
          <w:color w:val="auto"/>
          <w:sz w:val="24"/>
        </w:rPr>
      </w:pPr>
      <w:r>
        <w:rPr>
          <w:rFonts w:hint="eastAsia" w:ascii="宋体" w:hAnsi="宋体" w:eastAsia="宋体" w:cs="宋体"/>
          <w:color w:val="auto"/>
          <w:sz w:val="24"/>
        </w:rPr>
        <w:t>（2）国产产品与服务报项目现场交货人民币价。报价中需包括制造、装配和发运货物所使用的材料、部件及货物本身已支付或将支付的产品税、销售税和其它税费。</w:t>
      </w:r>
    </w:p>
    <w:p w14:paraId="4CAB35DB">
      <w:pPr>
        <w:tabs>
          <w:tab w:val="left" w:pos="900"/>
        </w:tabs>
        <w:spacing w:line="360" w:lineRule="auto"/>
        <w:rPr>
          <w:rFonts w:hint="eastAsia" w:ascii="宋体" w:hAnsi="宋体" w:eastAsia="宋体" w:cs="宋体"/>
          <w:color w:val="auto"/>
          <w:sz w:val="24"/>
        </w:rPr>
      </w:pPr>
      <w:r>
        <w:rPr>
          <w:rFonts w:hint="eastAsia" w:ascii="宋体" w:hAnsi="宋体" w:eastAsia="宋体" w:cs="宋体"/>
          <w:color w:val="auto"/>
          <w:sz w:val="24"/>
        </w:rPr>
        <w:t>（3）在中国境内的海关特殊监管区域内生产或加工销往境内其他地区的产品，不视为政府采购项下的进口产品，报CIP项目现场美元、欧元、英镑、日元或人民币价(不包括外贸代理费应向中华人民共和国政府缴纳的进口环节税。)投标报价如为外币，按以下公式换算为人民币，换算后的人民币价格若高于采购预算(设置最高限价的，以最高限价为准)，投标将拒绝:换算后人民币价格=投标报价(外币)x汇率(说明:汇率为开标当日中国银行总行首次发布的外币对人民币的现汇卖出价)。</w:t>
      </w:r>
    </w:p>
    <w:p w14:paraId="0770C3AC">
      <w:pPr>
        <w:widowControl/>
        <w:spacing w:line="360" w:lineRule="auto"/>
        <w:jc w:val="left"/>
        <w:rPr>
          <w:rFonts w:hint="eastAsia" w:ascii="宋体" w:hAnsi="宋体" w:eastAsia="宋体" w:cs="宋体"/>
          <w:bCs/>
          <w:color w:val="auto"/>
          <w:sz w:val="24"/>
        </w:rPr>
      </w:pPr>
      <w:r>
        <w:rPr>
          <w:rFonts w:hint="eastAsia" w:ascii="宋体" w:hAnsi="宋体" w:eastAsia="宋体" w:cs="宋体"/>
          <w:bCs/>
          <w:color w:val="auto"/>
          <w:sz w:val="24"/>
        </w:rPr>
        <w:t>（4）上述价格的构成须按在分项报价表中格式要求详细列出。</w:t>
      </w:r>
    </w:p>
    <w:p w14:paraId="45380DC6">
      <w:pPr>
        <w:rPr>
          <w:rFonts w:ascii="Times New Roman" w:hAnsi="Times New Roman" w:eastAsia="宋体" w:cs="Times New Roman"/>
          <w:color w:val="auto"/>
        </w:rPr>
      </w:pPr>
    </w:p>
    <w:p w14:paraId="74620C20">
      <w:pPr>
        <w:widowControl/>
        <w:tabs>
          <w:tab w:val="left" w:pos="900"/>
        </w:tabs>
        <w:spacing w:line="360" w:lineRule="auto"/>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1</w:t>
      </w:r>
      <w:r>
        <w:rPr>
          <w:rFonts w:ascii="宋体" w:hAnsi="宋体" w:eastAsia="宋体" w:cs="宋体"/>
          <w:b/>
          <w:bCs/>
          <w:color w:val="auto"/>
          <w:kern w:val="0"/>
          <w:sz w:val="24"/>
        </w:rPr>
        <w:t>0</w:t>
      </w:r>
      <w:r>
        <w:rPr>
          <w:rFonts w:hint="eastAsia" w:ascii="宋体" w:hAnsi="宋体" w:eastAsia="宋体" w:cs="宋体"/>
          <w:b/>
          <w:bCs/>
          <w:color w:val="auto"/>
          <w:kern w:val="0"/>
          <w:sz w:val="24"/>
        </w:rPr>
        <w:t>、是否允许采购进口产品：否</w:t>
      </w:r>
    </w:p>
    <w:p w14:paraId="6A8AE926">
      <w:pPr>
        <w:rPr>
          <w:rFonts w:ascii="Times New Roman" w:hAnsi="Times New Roman" w:eastAsia="宋体" w:cs="Times New Roman"/>
          <w:color w:val="auto"/>
        </w:rPr>
      </w:pPr>
    </w:p>
    <w:p w14:paraId="3BFDEF4B">
      <w:pPr>
        <w:widowControl/>
        <w:tabs>
          <w:tab w:val="left" w:pos="900"/>
        </w:tabs>
        <w:spacing w:line="360" w:lineRule="auto"/>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1</w:t>
      </w:r>
      <w:r>
        <w:rPr>
          <w:rFonts w:ascii="宋体" w:hAnsi="宋体" w:eastAsia="宋体" w:cs="宋体"/>
          <w:b/>
          <w:bCs/>
          <w:color w:val="auto"/>
          <w:kern w:val="0"/>
          <w:sz w:val="24"/>
        </w:rPr>
        <w:t>1</w:t>
      </w:r>
      <w:r>
        <w:rPr>
          <w:rFonts w:hint="eastAsia" w:ascii="宋体" w:hAnsi="宋体" w:eastAsia="宋体" w:cs="宋体"/>
          <w:b/>
          <w:bCs/>
          <w:color w:val="auto"/>
          <w:kern w:val="0"/>
          <w:sz w:val="24"/>
        </w:rPr>
        <w:t>、采购预算：</w:t>
      </w:r>
      <w:r>
        <w:rPr>
          <w:rFonts w:hint="eastAsia" w:ascii="宋体" w:hAnsi="宋体" w:eastAsia="宋体" w:cs="宋体"/>
          <w:color w:val="auto"/>
          <w:kern w:val="0"/>
          <w:sz w:val="24"/>
        </w:rPr>
        <w:t>900万人民币</w:t>
      </w:r>
    </w:p>
    <w:p w14:paraId="7C2826F5">
      <w:pPr>
        <w:widowControl/>
        <w:tabs>
          <w:tab w:val="left" w:pos="900"/>
        </w:tabs>
        <w:spacing w:line="360" w:lineRule="auto"/>
        <w:ind w:firstLine="482" w:firstLineChars="200"/>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最高限价：</w:t>
      </w:r>
      <w:r>
        <w:rPr>
          <w:rFonts w:hint="eastAsia" w:ascii="宋体" w:hAnsi="宋体" w:eastAsia="宋体" w:cs="宋体"/>
          <w:color w:val="auto"/>
          <w:kern w:val="0"/>
          <w:sz w:val="24"/>
        </w:rPr>
        <w:t>900万人民币</w:t>
      </w:r>
    </w:p>
    <w:p w14:paraId="0F2B4B03">
      <w:bookmarkStart w:id="4" w:name="_GoBack"/>
      <w:bookmarkEnd w:id="4"/>
    </w:p>
    <w:sectPr>
      <w:headerReference r:id="rId3" w:type="first"/>
      <w:footerReference r:id="rId5" w:type="first"/>
      <w:footerReference r:id="rId4" w:type="default"/>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ACCA3">
    <w:pPr>
      <w:pStyle w:val="5"/>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76</w:t>
    </w:r>
    <w:r>
      <w:rPr>
        <w:rFonts w:ascii="Times New Roman" w:hAnsi="Times New Roman" w:eastAsia="宋体"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B83DD">
    <w:pPr>
      <w:pStyle w:val="5"/>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44</w:t>
    </w:r>
    <w:r>
      <w:rPr>
        <w:rFonts w:ascii="Times New Roman" w:hAnsi="Times New Roman" w:eastAsia="宋体" w:cs="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96CB5">
    <w:pPr>
      <w:rPr>
        <w:rFonts w:ascii="Times New Roman" w:hAnsi="Times New Roman" w:eastAsia="宋体"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40FFF"/>
    <w:rsid w:val="6C440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envelope return"/>
    <w:unhideWhenUsed/>
    <w:qFormat/>
    <w:uiPriority w:val="99"/>
    <w:pPr>
      <w:widowControl w:val="0"/>
      <w:snapToGrid w:val="0"/>
      <w:jc w:val="both"/>
    </w:pPr>
    <w:rPr>
      <w:rFonts w:ascii="Arial" w:hAnsi="Arial" w:eastAsia="宋体" w:cs="Times New Roman"/>
      <w:kern w:val="2"/>
      <w:sz w:val="21"/>
      <w:szCs w:val="24"/>
      <w:lang w:val="en-US" w:eastAsia="zh-CN" w:bidi="ar-SA"/>
    </w:rPr>
  </w:style>
  <w:style w:type="paragraph" w:styleId="5">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styleId="8">
    <w:name w:val="Emphasis"/>
    <w:qFormat/>
    <w:uiPriority w:val="20"/>
    <w:rPr>
      <w:i/>
      <w:iCs/>
    </w:rPr>
  </w:style>
  <w:style w:type="paragraph" w:customStyle="1" w:styleId="9">
    <w:name w:val="Sol-702GF报告-正文-内容"/>
    <w:qFormat/>
    <w:uiPriority w:val="0"/>
    <w:pPr>
      <w:widowControl/>
      <w:spacing w:line="360" w:lineRule="auto"/>
      <w:ind w:firstLine="200" w:firstLineChars="200"/>
      <w:jc w:val="both"/>
    </w:pPr>
    <w:rPr>
      <w:rFonts w:ascii="宋体" w:hAnsi="Times New Roman" w:eastAsia="宋体" w:cs="宋体"/>
      <w:kern w:val="2"/>
      <w:sz w:val="24"/>
      <w:szCs w:val="24"/>
      <w:lang w:val="en-US" w:eastAsia="zh-CN" w:bidi="ar-SA"/>
    </w:rPr>
  </w:style>
  <w:style w:type="paragraph" w:customStyle="1" w:styleId="10">
    <w:name w:val="正文文本首行缩进 21"/>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2026-08-20T08:56:00Z</dcterms:created>
  <dc:creator>NRQ</dc:creator>
  <cp:lastModifiedBy>NRQ</cp:lastModifiedBy>
  <dcterms:modified xsi:type="dcterms:W3CDTF">2026-08-20T08:57:39Z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7A5158C33CC34EFD8DB9CE2689CC729F_11</vt:lpwstr>
  </property>
  <property fmtid="{D5CDD505-2E9C-101B-9397-08002B2CF9AE}" pid="4" name="KSOTemplateDocerSaveRecord">
    <vt:lpwstr>eyJoZGlkIjoiMTIxZDcwNTViY2ZjMjRiOWYwMDk4OWZiMzNjNDVhYjMiLCJ1c2VySWQiOiIzMTk1NTE3MjgifQ==</vt:lpwstr>
  </property>
</Properties>
</file>