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108640">
      <w:pPr>
        <w:pStyle w:val="5"/>
        <w:keepLines w:val="0"/>
        <w:spacing w:before="0" w:after="0" w:line="360" w:lineRule="auto"/>
        <w:rPr>
          <w:rFonts w:hint="eastAsia" w:ascii="宋体" w:hAnsi="宋体" w:cs="宋体"/>
          <w:color w:val="auto"/>
          <w:sz w:val="36"/>
          <w:szCs w:val="36"/>
          <w:highlight w:val="none"/>
        </w:rPr>
      </w:pPr>
      <w:r>
        <w:rPr>
          <w:rFonts w:hint="eastAsia" w:ascii="宋体" w:hAnsi="宋体" w:cs="宋体"/>
          <w:color w:val="auto"/>
          <w:sz w:val="36"/>
          <w:szCs w:val="36"/>
          <w:highlight w:val="none"/>
        </w:rPr>
        <w:t>招标项目技术、服务要求及商务要求</w:t>
      </w:r>
    </w:p>
    <w:p w14:paraId="38FE7EBD">
      <w:pPr>
        <w:keepNext/>
        <w:spacing w:line="360" w:lineRule="auto"/>
        <w:jc w:val="center"/>
        <w:rPr>
          <w:rFonts w:hint="eastAsia" w:ascii="宋体" w:hAnsi="宋体" w:cs="宋体"/>
          <w:b/>
          <w:color w:val="auto"/>
          <w:sz w:val="24"/>
          <w:highlight w:val="none"/>
          <w:lang w:eastAsia="zh-Hans"/>
        </w:rPr>
      </w:pPr>
      <w:bookmarkStart w:id="0" w:name="_Toc217446095"/>
      <w:r>
        <w:rPr>
          <w:rFonts w:hint="eastAsia" w:ascii="宋体" w:hAnsi="宋体" w:cs="宋体"/>
          <w:b/>
          <w:bCs/>
          <w:color w:val="auto"/>
          <w:sz w:val="24"/>
          <w:highlight w:val="none"/>
        </w:rPr>
        <w:t>【本章标注“</w:t>
      </w:r>
      <w:r>
        <w:rPr>
          <w:rFonts w:hint="eastAsia" w:ascii="宋体" w:hAnsi="宋体" w:cs="宋体"/>
          <w:b/>
          <w:color w:val="auto"/>
          <w:kern w:val="0"/>
          <w:sz w:val="24"/>
          <w:highlight w:val="none"/>
        </w:rPr>
        <w:t>★</w:t>
      </w:r>
      <w:r>
        <w:rPr>
          <w:rFonts w:hint="eastAsia" w:ascii="宋体" w:hAnsi="宋体" w:cs="宋体"/>
          <w:b/>
          <w:bCs/>
          <w:color w:val="auto"/>
          <w:sz w:val="24"/>
          <w:highlight w:val="none"/>
        </w:rPr>
        <w:t>”要求为本项目实质性要求，不允许有负偏离。】</w:t>
      </w:r>
      <w:bookmarkEnd w:id="0"/>
    </w:p>
    <w:p w14:paraId="1CAE6A95">
      <w:pPr>
        <w:keepNext/>
        <w:spacing w:line="360" w:lineRule="auto"/>
        <w:ind w:firstLine="420"/>
        <w:rPr>
          <w:rFonts w:hint="eastAsia" w:ascii="宋体" w:hAnsi="宋体" w:cs="宋体"/>
          <w:color w:val="auto"/>
          <w:kern w:val="0"/>
          <w:sz w:val="24"/>
          <w:highlight w:val="none"/>
        </w:rPr>
      </w:pPr>
    </w:p>
    <w:p w14:paraId="0598D791">
      <w:pPr>
        <w:keepNext/>
        <w:numPr>
          <w:ilvl w:val="0"/>
          <w:numId w:val="1"/>
        </w:numPr>
        <w:spacing w:line="360" w:lineRule="auto"/>
        <w:rPr>
          <w:rFonts w:hint="eastAsia" w:ascii="宋体" w:hAnsi="宋体" w:cs="宋体"/>
          <w:b/>
          <w:bCs/>
          <w:color w:val="auto"/>
          <w:sz w:val="24"/>
          <w:highlight w:val="none"/>
        </w:rPr>
      </w:pPr>
      <w:r>
        <w:rPr>
          <w:rFonts w:hint="eastAsia" w:ascii="宋体" w:hAnsi="宋体" w:cs="宋体"/>
          <w:b/>
          <w:bCs/>
          <w:color w:val="auto"/>
          <w:sz w:val="24"/>
          <w:highlight w:val="none"/>
        </w:rPr>
        <w:t>项目清单</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2497"/>
        <w:gridCol w:w="612"/>
        <w:gridCol w:w="612"/>
        <w:gridCol w:w="869"/>
        <w:gridCol w:w="869"/>
        <w:gridCol w:w="869"/>
        <w:gridCol w:w="869"/>
        <w:gridCol w:w="868"/>
      </w:tblGrid>
      <w:tr w14:paraId="7384AEB6">
        <w:trPr>
          <w:trHeight w:val="23" w:hRule="atLeast"/>
        </w:trPr>
        <w:tc>
          <w:tcPr>
            <w:tcW w:w="268" w:type="pct"/>
            <w:noWrap w:val="0"/>
            <w:vAlign w:val="center"/>
          </w:tcPr>
          <w:p w14:paraId="072B7623">
            <w:pPr>
              <w:keepNext/>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1465" w:type="pct"/>
            <w:noWrap w:val="0"/>
            <w:vAlign w:val="center"/>
          </w:tcPr>
          <w:p w14:paraId="43400A54">
            <w:pPr>
              <w:keepNext/>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标的名称</w:t>
            </w:r>
          </w:p>
        </w:tc>
        <w:tc>
          <w:tcPr>
            <w:tcW w:w="359" w:type="pct"/>
            <w:noWrap w:val="0"/>
            <w:vAlign w:val="center"/>
          </w:tcPr>
          <w:p w14:paraId="1A5F8F92">
            <w:pPr>
              <w:keepNext/>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单位</w:t>
            </w:r>
          </w:p>
        </w:tc>
        <w:tc>
          <w:tcPr>
            <w:tcW w:w="359" w:type="pct"/>
            <w:noWrap w:val="0"/>
            <w:vAlign w:val="center"/>
          </w:tcPr>
          <w:p w14:paraId="5846D5B9">
            <w:pPr>
              <w:keepNext/>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数量</w:t>
            </w:r>
          </w:p>
        </w:tc>
        <w:tc>
          <w:tcPr>
            <w:tcW w:w="510" w:type="pct"/>
            <w:noWrap w:val="0"/>
            <w:vAlign w:val="center"/>
          </w:tcPr>
          <w:p w14:paraId="44DE5B69">
            <w:pPr>
              <w:keepNext/>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所属行业</w:t>
            </w:r>
          </w:p>
        </w:tc>
        <w:tc>
          <w:tcPr>
            <w:tcW w:w="510" w:type="pct"/>
            <w:noWrap w:val="0"/>
            <w:vAlign w:val="center"/>
          </w:tcPr>
          <w:p w14:paraId="7E9F3806">
            <w:pPr>
              <w:keepNext/>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是否允许进口</w:t>
            </w:r>
          </w:p>
        </w:tc>
        <w:tc>
          <w:tcPr>
            <w:tcW w:w="510" w:type="pct"/>
            <w:noWrap w:val="0"/>
            <w:vAlign w:val="center"/>
          </w:tcPr>
          <w:p w14:paraId="58E60C41">
            <w:pPr>
              <w:keepNext/>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是否属于优先采购节能产品</w:t>
            </w:r>
          </w:p>
        </w:tc>
        <w:tc>
          <w:tcPr>
            <w:tcW w:w="510" w:type="pct"/>
            <w:noWrap w:val="0"/>
            <w:vAlign w:val="center"/>
          </w:tcPr>
          <w:p w14:paraId="58911F46">
            <w:pPr>
              <w:keepNext/>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是否属</w:t>
            </w:r>
          </w:p>
          <w:p w14:paraId="5F468018">
            <w:pPr>
              <w:keepNext/>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于强制采购节能产品</w:t>
            </w:r>
          </w:p>
        </w:tc>
        <w:tc>
          <w:tcPr>
            <w:tcW w:w="509" w:type="pct"/>
            <w:noWrap w:val="0"/>
            <w:vAlign w:val="center"/>
          </w:tcPr>
          <w:p w14:paraId="21849A75">
            <w:pPr>
              <w:keepNext/>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是否属于优先采购环境标志产品</w:t>
            </w:r>
          </w:p>
        </w:tc>
      </w:tr>
      <w:tr w14:paraId="1329FCD9">
        <w:trPr>
          <w:trHeight w:val="23" w:hRule="atLeast"/>
        </w:trPr>
        <w:tc>
          <w:tcPr>
            <w:tcW w:w="268" w:type="pct"/>
            <w:noWrap w:val="0"/>
            <w:vAlign w:val="center"/>
          </w:tcPr>
          <w:p w14:paraId="611ADAFA">
            <w:pPr>
              <w:keepNext/>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1</w:t>
            </w:r>
          </w:p>
        </w:tc>
        <w:tc>
          <w:tcPr>
            <w:tcW w:w="1465" w:type="pct"/>
            <w:noWrap w:val="0"/>
            <w:vAlign w:val="center"/>
          </w:tcPr>
          <w:p w14:paraId="6D108B27">
            <w:pPr>
              <w:keepNext/>
              <w:spacing w:line="360" w:lineRule="auto"/>
              <w:jc w:val="center"/>
              <w:rPr>
                <w:rFonts w:hint="eastAsia" w:ascii="宋体" w:hAnsi="宋体" w:cs="宋体"/>
                <w:color w:val="auto"/>
                <w:szCs w:val="21"/>
                <w:highlight w:val="none"/>
              </w:rPr>
            </w:pPr>
            <w:r>
              <w:rPr>
                <w:rFonts w:hint="eastAsia"/>
                <w:color w:val="auto"/>
                <w:szCs w:val="21"/>
                <w:highlight w:val="none"/>
              </w:rPr>
              <w:t>原子级精度样件寿命检测设备</w:t>
            </w:r>
          </w:p>
        </w:tc>
        <w:tc>
          <w:tcPr>
            <w:tcW w:w="359" w:type="pct"/>
            <w:noWrap w:val="0"/>
            <w:vAlign w:val="center"/>
          </w:tcPr>
          <w:p w14:paraId="3546AD87">
            <w:pPr>
              <w:keepNext/>
              <w:spacing w:line="360" w:lineRule="auto"/>
              <w:jc w:val="center"/>
              <w:rPr>
                <w:rFonts w:hint="eastAsia" w:ascii="宋体" w:hAnsi="宋体" w:cs="宋体"/>
                <w:color w:val="auto"/>
                <w:szCs w:val="21"/>
                <w:highlight w:val="none"/>
              </w:rPr>
            </w:pPr>
            <w:r>
              <w:rPr>
                <w:rFonts w:hint="eastAsia"/>
                <w:color w:val="auto"/>
                <w:szCs w:val="21"/>
                <w:highlight w:val="none"/>
              </w:rPr>
              <w:t>套</w:t>
            </w:r>
          </w:p>
        </w:tc>
        <w:tc>
          <w:tcPr>
            <w:tcW w:w="359" w:type="pct"/>
            <w:noWrap w:val="0"/>
            <w:vAlign w:val="center"/>
          </w:tcPr>
          <w:p w14:paraId="00206283">
            <w:pPr>
              <w:keepNext/>
              <w:spacing w:line="360" w:lineRule="auto"/>
              <w:jc w:val="center"/>
              <w:rPr>
                <w:rFonts w:hint="eastAsia" w:ascii="宋体" w:hAnsi="宋体" w:cs="宋体"/>
                <w:color w:val="auto"/>
                <w:szCs w:val="21"/>
                <w:highlight w:val="none"/>
              </w:rPr>
            </w:pPr>
            <w:r>
              <w:rPr>
                <w:rFonts w:hint="eastAsia"/>
                <w:color w:val="auto"/>
                <w:szCs w:val="21"/>
                <w:highlight w:val="none"/>
              </w:rPr>
              <w:t>1</w:t>
            </w:r>
          </w:p>
        </w:tc>
        <w:tc>
          <w:tcPr>
            <w:tcW w:w="510" w:type="pct"/>
            <w:noWrap w:val="0"/>
            <w:vAlign w:val="center"/>
          </w:tcPr>
          <w:p w14:paraId="5EB64C8B">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510" w:type="pct"/>
            <w:noWrap w:val="0"/>
            <w:vAlign w:val="center"/>
          </w:tcPr>
          <w:p w14:paraId="2F6F51E2">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c>
          <w:tcPr>
            <w:tcW w:w="510" w:type="pct"/>
            <w:noWrap w:val="0"/>
            <w:vAlign w:val="center"/>
          </w:tcPr>
          <w:p w14:paraId="295DD420">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c>
          <w:tcPr>
            <w:tcW w:w="510" w:type="pct"/>
            <w:noWrap w:val="0"/>
            <w:vAlign w:val="center"/>
          </w:tcPr>
          <w:p w14:paraId="1B722545">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c>
          <w:tcPr>
            <w:tcW w:w="509" w:type="pct"/>
            <w:noWrap w:val="0"/>
            <w:vAlign w:val="center"/>
          </w:tcPr>
          <w:p w14:paraId="42D9ED5E">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r>
      <w:tr w14:paraId="3E760C30">
        <w:trPr>
          <w:trHeight w:val="23" w:hRule="atLeast"/>
        </w:trPr>
        <w:tc>
          <w:tcPr>
            <w:tcW w:w="268" w:type="pct"/>
            <w:noWrap w:val="0"/>
            <w:vAlign w:val="center"/>
          </w:tcPr>
          <w:p w14:paraId="29E70726">
            <w:pPr>
              <w:keepNext/>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2</w:t>
            </w:r>
          </w:p>
        </w:tc>
        <w:tc>
          <w:tcPr>
            <w:tcW w:w="1465" w:type="pct"/>
            <w:noWrap w:val="0"/>
            <w:vAlign w:val="center"/>
          </w:tcPr>
          <w:p w14:paraId="5FB04DAE">
            <w:pPr>
              <w:keepNext/>
              <w:spacing w:line="360" w:lineRule="auto"/>
              <w:jc w:val="center"/>
              <w:rPr>
                <w:rFonts w:hint="eastAsia" w:ascii="宋体" w:hAnsi="宋体" w:cs="宋体"/>
                <w:color w:val="auto"/>
                <w:szCs w:val="21"/>
                <w:highlight w:val="none"/>
              </w:rPr>
            </w:pPr>
            <w:r>
              <w:rPr>
                <w:rFonts w:hint="eastAsia"/>
                <w:color w:val="auto"/>
                <w:szCs w:val="21"/>
                <w:highlight w:val="none"/>
              </w:rPr>
              <w:t>晶圆湿法原子级清洗设备</w:t>
            </w:r>
          </w:p>
        </w:tc>
        <w:tc>
          <w:tcPr>
            <w:tcW w:w="359" w:type="pct"/>
            <w:noWrap w:val="0"/>
            <w:vAlign w:val="center"/>
          </w:tcPr>
          <w:p w14:paraId="08A7DDD4">
            <w:pPr>
              <w:keepNext/>
              <w:spacing w:line="360" w:lineRule="auto"/>
              <w:jc w:val="center"/>
              <w:rPr>
                <w:rFonts w:hint="eastAsia" w:ascii="宋体" w:hAnsi="宋体" w:cs="宋体"/>
                <w:color w:val="auto"/>
                <w:szCs w:val="21"/>
                <w:highlight w:val="none"/>
              </w:rPr>
            </w:pPr>
            <w:r>
              <w:rPr>
                <w:rFonts w:hint="eastAsia"/>
                <w:color w:val="auto"/>
                <w:szCs w:val="21"/>
                <w:highlight w:val="none"/>
              </w:rPr>
              <w:t>套</w:t>
            </w:r>
          </w:p>
        </w:tc>
        <w:tc>
          <w:tcPr>
            <w:tcW w:w="359" w:type="pct"/>
            <w:noWrap w:val="0"/>
            <w:vAlign w:val="center"/>
          </w:tcPr>
          <w:p w14:paraId="1C0C17F4">
            <w:pPr>
              <w:keepNext/>
              <w:spacing w:line="360" w:lineRule="auto"/>
              <w:jc w:val="center"/>
              <w:rPr>
                <w:rFonts w:hint="eastAsia" w:ascii="宋体" w:hAnsi="宋体" w:cs="宋体"/>
                <w:color w:val="auto"/>
                <w:szCs w:val="21"/>
                <w:highlight w:val="none"/>
              </w:rPr>
            </w:pPr>
            <w:r>
              <w:rPr>
                <w:rFonts w:hint="eastAsia"/>
                <w:color w:val="auto"/>
                <w:szCs w:val="21"/>
                <w:highlight w:val="none"/>
              </w:rPr>
              <w:t>1</w:t>
            </w:r>
          </w:p>
        </w:tc>
        <w:tc>
          <w:tcPr>
            <w:tcW w:w="510" w:type="pct"/>
            <w:noWrap w:val="0"/>
            <w:vAlign w:val="center"/>
          </w:tcPr>
          <w:p w14:paraId="12C16739">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510" w:type="pct"/>
            <w:noWrap w:val="0"/>
            <w:vAlign w:val="center"/>
          </w:tcPr>
          <w:p w14:paraId="6C22527F">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c>
          <w:tcPr>
            <w:tcW w:w="510" w:type="pct"/>
            <w:noWrap w:val="0"/>
            <w:vAlign w:val="center"/>
          </w:tcPr>
          <w:p w14:paraId="21DC54C7">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c>
          <w:tcPr>
            <w:tcW w:w="510" w:type="pct"/>
            <w:noWrap w:val="0"/>
            <w:vAlign w:val="center"/>
          </w:tcPr>
          <w:p w14:paraId="3FE3C918">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c>
          <w:tcPr>
            <w:tcW w:w="509" w:type="pct"/>
            <w:noWrap w:val="0"/>
            <w:vAlign w:val="center"/>
          </w:tcPr>
          <w:p w14:paraId="42A20357">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r>
      <w:tr w14:paraId="45156544">
        <w:trPr>
          <w:trHeight w:val="23" w:hRule="atLeast"/>
        </w:trPr>
        <w:tc>
          <w:tcPr>
            <w:tcW w:w="268" w:type="pct"/>
            <w:noWrap w:val="0"/>
            <w:vAlign w:val="center"/>
          </w:tcPr>
          <w:p w14:paraId="619178A6">
            <w:pPr>
              <w:keepNext/>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3</w:t>
            </w:r>
          </w:p>
        </w:tc>
        <w:tc>
          <w:tcPr>
            <w:tcW w:w="1465" w:type="pct"/>
            <w:noWrap w:val="0"/>
            <w:vAlign w:val="center"/>
          </w:tcPr>
          <w:p w14:paraId="57C226C2">
            <w:pPr>
              <w:keepNext/>
              <w:spacing w:line="360" w:lineRule="auto"/>
              <w:jc w:val="center"/>
              <w:rPr>
                <w:rFonts w:hint="eastAsia" w:ascii="宋体" w:hAnsi="宋体" w:cs="宋体"/>
                <w:color w:val="auto"/>
                <w:szCs w:val="21"/>
                <w:highlight w:val="none"/>
              </w:rPr>
            </w:pPr>
            <w:r>
              <w:rPr>
                <w:rFonts w:hint="eastAsia"/>
                <w:color w:val="auto"/>
                <w:szCs w:val="21"/>
                <w:highlight w:val="none"/>
              </w:rPr>
              <w:t>深紫外辅助原子层缺陷控制设备</w:t>
            </w:r>
          </w:p>
        </w:tc>
        <w:tc>
          <w:tcPr>
            <w:tcW w:w="359" w:type="pct"/>
            <w:noWrap w:val="0"/>
            <w:vAlign w:val="center"/>
          </w:tcPr>
          <w:p w14:paraId="14677600">
            <w:pPr>
              <w:keepNext/>
              <w:spacing w:line="360" w:lineRule="auto"/>
              <w:jc w:val="center"/>
              <w:rPr>
                <w:rFonts w:hint="eastAsia" w:ascii="宋体" w:hAnsi="宋体" w:cs="宋体"/>
                <w:color w:val="auto"/>
                <w:szCs w:val="21"/>
                <w:highlight w:val="none"/>
              </w:rPr>
            </w:pPr>
            <w:r>
              <w:rPr>
                <w:rFonts w:hint="eastAsia"/>
                <w:color w:val="auto"/>
                <w:szCs w:val="21"/>
                <w:highlight w:val="none"/>
              </w:rPr>
              <w:t>套</w:t>
            </w:r>
          </w:p>
        </w:tc>
        <w:tc>
          <w:tcPr>
            <w:tcW w:w="359" w:type="pct"/>
            <w:noWrap w:val="0"/>
            <w:vAlign w:val="center"/>
          </w:tcPr>
          <w:p w14:paraId="41C510DB">
            <w:pPr>
              <w:keepNext/>
              <w:spacing w:line="360" w:lineRule="auto"/>
              <w:jc w:val="center"/>
              <w:rPr>
                <w:rFonts w:hint="eastAsia" w:ascii="宋体" w:hAnsi="宋体" w:cs="宋体"/>
                <w:color w:val="auto"/>
                <w:szCs w:val="21"/>
                <w:highlight w:val="none"/>
              </w:rPr>
            </w:pPr>
            <w:r>
              <w:rPr>
                <w:rFonts w:hint="eastAsia"/>
                <w:color w:val="auto"/>
                <w:szCs w:val="21"/>
                <w:highlight w:val="none"/>
              </w:rPr>
              <w:t>1</w:t>
            </w:r>
          </w:p>
        </w:tc>
        <w:tc>
          <w:tcPr>
            <w:tcW w:w="510" w:type="pct"/>
            <w:noWrap w:val="0"/>
            <w:vAlign w:val="center"/>
          </w:tcPr>
          <w:p w14:paraId="19DB6BF3">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510" w:type="pct"/>
            <w:noWrap w:val="0"/>
            <w:vAlign w:val="center"/>
          </w:tcPr>
          <w:p w14:paraId="474A8D7A">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c>
          <w:tcPr>
            <w:tcW w:w="510" w:type="pct"/>
            <w:noWrap w:val="0"/>
            <w:vAlign w:val="center"/>
          </w:tcPr>
          <w:p w14:paraId="6C4F1724">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c>
          <w:tcPr>
            <w:tcW w:w="510" w:type="pct"/>
            <w:noWrap w:val="0"/>
            <w:vAlign w:val="center"/>
          </w:tcPr>
          <w:p w14:paraId="7CC58052">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c>
          <w:tcPr>
            <w:tcW w:w="509" w:type="pct"/>
            <w:noWrap w:val="0"/>
            <w:vAlign w:val="center"/>
          </w:tcPr>
          <w:p w14:paraId="76E66454">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r>
      <w:tr w14:paraId="5C46A233">
        <w:trPr>
          <w:trHeight w:val="23" w:hRule="atLeast"/>
        </w:trPr>
        <w:tc>
          <w:tcPr>
            <w:tcW w:w="268" w:type="pct"/>
            <w:noWrap w:val="0"/>
            <w:vAlign w:val="center"/>
          </w:tcPr>
          <w:p w14:paraId="727FE7E5">
            <w:pPr>
              <w:keepNext/>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4</w:t>
            </w:r>
          </w:p>
        </w:tc>
        <w:tc>
          <w:tcPr>
            <w:tcW w:w="1465" w:type="pct"/>
            <w:noWrap w:val="0"/>
            <w:vAlign w:val="center"/>
          </w:tcPr>
          <w:p w14:paraId="2767A3F0">
            <w:pPr>
              <w:keepNext/>
              <w:spacing w:line="360" w:lineRule="auto"/>
              <w:jc w:val="center"/>
              <w:rPr>
                <w:rFonts w:hint="eastAsia" w:ascii="宋体" w:hAnsi="宋体" w:cs="宋体"/>
                <w:color w:val="auto"/>
                <w:szCs w:val="21"/>
                <w:highlight w:val="none"/>
              </w:rPr>
            </w:pPr>
            <w:r>
              <w:rPr>
                <w:rFonts w:hint="eastAsia"/>
                <w:color w:val="auto"/>
                <w:szCs w:val="21"/>
                <w:highlight w:val="none"/>
              </w:rPr>
              <w:t>晶圆原子级清洗辅助转运设备</w:t>
            </w:r>
          </w:p>
        </w:tc>
        <w:tc>
          <w:tcPr>
            <w:tcW w:w="359" w:type="pct"/>
            <w:noWrap w:val="0"/>
            <w:vAlign w:val="center"/>
          </w:tcPr>
          <w:p w14:paraId="1F503F96">
            <w:pPr>
              <w:keepNext/>
              <w:spacing w:line="360" w:lineRule="auto"/>
              <w:jc w:val="center"/>
              <w:rPr>
                <w:rFonts w:hint="eastAsia" w:ascii="宋体" w:hAnsi="宋体" w:cs="宋体"/>
                <w:color w:val="auto"/>
                <w:szCs w:val="21"/>
                <w:highlight w:val="none"/>
              </w:rPr>
            </w:pPr>
            <w:r>
              <w:rPr>
                <w:rFonts w:hint="eastAsia"/>
                <w:color w:val="auto"/>
                <w:szCs w:val="21"/>
                <w:highlight w:val="none"/>
              </w:rPr>
              <w:t>套</w:t>
            </w:r>
          </w:p>
        </w:tc>
        <w:tc>
          <w:tcPr>
            <w:tcW w:w="359" w:type="pct"/>
            <w:noWrap w:val="0"/>
            <w:vAlign w:val="center"/>
          </w:tcPr>
          <w:p w14:paraId="0B98FBE8">
            <w:pPr>
              <w:keepNext/>
              <w:spacing w:line="360" w:lineRule="auto"/>
              <w:jc w:val="center"/>
              <w:rPr>
                <w:rFonts w:hint="eastAsia" w:ascii="宋体" w:hAnsi="宋体" w:cs="宋体"/>
                <w:color w:val="auto"/>
                <w:szCs w:val="21"/>
                <w:highlight w:val="none"/>
              </w:rPr>
            </w:pPr>
            <w:r>
              <w:rPr>
                <w:rFonts w:hint="eastAsia"/>
                <w:color w:val="auto"/>
                <w:szCs w:val="21"/>
                <w:highlight w:val="none"/>
              </w:rPr>
              <w:t>1</w:t>
            </w:r>
          </w:p>
        </w:tc>
        <w:tc>
          <w:tcPr>
            <w:tcW w:w="510" w:type="pct"/>
            <w:noWrap w:val="0"/>
            <w:vAlign w:val="center"/>
          </w:tcPr>
          <w:p w14:paraId="6A9F179A">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510" w:type="pct"/>
            <w:noWrap w:val="0"/>
            <w:vAlign w:val="center"/>
          </w:tcPr>
          <w:p w14:paraId="300F4BE7">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c>
          <w:tcPr>
            <w:tcW w:w="510" w:type="pct"/>
            <w:noWrap w:val="0"/>
            <w:vAlign w:val="center"/>
          </w:tcPr>
          <w:p w14:paraId="65304F4C">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c>
          <w:tcPr>
            <w:tcW w:w="510" w:type="pct"/>
            <w:noWrap w:val="0"/>
            <w:vAlign w:val="center"/>
          </w:tcPr>
          <w:p w14:paraId="7B1150D9">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c>
          <w:tcPr>
            <w:tcW w:w="509" w:type="pct"/>
            <w:noWrap w:val="0"/>
            <w:vAlign w:val="center"/>
          </w:tcPr>
          <w:p w14:paraId="31DCC0CE">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否</w:t>
            </w:r>
          </w:p>
        </w:tc>
      </w:tr>
    </w:tbl>
    <w:p w14:paraId="32A5F0ED">
      <w:pPr>
        <w:keepNext/>
        <w:spacing w:line="360" w:lineRule="auto"/>
        <w:rPr>
          <w:rFonts w:hint="eastAsia" w:ascii="宋体" w:hAnsi="宋体" w:cs="宋体"/>
          <w:b/>
          <w:bCs/>
          <w:color w:val="auto"/>
          <w:sz w:val="24"/>
          <w:highlight w:val="none"/>
        </w:rPr>
      </w:pPr>
    </w:p>
    <w:p w14:paraId="07BEE311">
      <w:pPr>
        <w:keepNext/>
        <w:numPr>
          <w:ilvl w:val="0"/>
          <w:numId w:val="1"/>
        </w:numPr>
        <w:spacing w:line="360" w:lineRule="auto"/>
        <w:rPr>
          <w:rFonts w:hint="eastAsia" w:ascii="宋体" w:hAnsi="宋体" w:cs="宋体"/>
          <w:b/>
          <w:bCs/>
          <w:color w:val="auto"/>
          <w:sz w:val="24"/>
          <w:highlight w:val="none"/>
        </w:rPr>
      </w:pPr>
      <w:r>
        <w:rPr>
          <w:rFonts w:hint="eastAsia" w:ascii="宋体" w:hAnsi="宋体" w:cs="宋体"/>
          <w:b/>
          <w:color w:val="auto"/>
          <w:sz w:val="24"/>
          <w:highlight w:val="none"/>
        </w:rPr>
        <w:t>技术/服务要求（本项需求应在技术/服务应答表中进行应答）</w:t>
      </w:r>
    </w:p>
    <w:p w14:paraId="076093C7">
      <w:pPr>
        <w:keepNext/>
        <w:numPr>
          <w:ilvl w:val="0"/>
          <w:numId w:val="2"/>
        </w:numPr>
        <w:spacing w:line="360" w:lineRule="auto"/>
        <w:rPr>
          <w:b/>
          <w:color w:val="auto"/>
          <w:sz w:val="24"/>
          <w:highlight w:val="none"/>
        </w:rPr>
      </w:pPr>
      <w:r>
        <w:rPr>
          <w:b/>
          <w:color w:val="auto"/>
          <w:sz w:val="24"/>
          <w:highlight w:val="none"/>
        </w:rPr>
        <w:t>详细技术指标及功能需求</w:t>
      </w:r>
    </w:p>
    <w:tbl>
      <w:tblPr>
        <w:tblStyle w:val="3"/>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1686"/>
        <w:gridCol w:w="6851"/>
      </w:tblGrid>
      <w:tr w14:paraId="0DB38605">
        <w:trPr>
          <w:jc w:val="center"/>
        </w:trPr>
        <w:tc>
          <w:tcPr>
            <w:tcW w:w="672" w:type="dxa"/>
            <w:noWrap w:val="0"/>
            <w:vAlign w:val="center"/>
          </w:tcPr>
          <w:p w14:paraId="6E93E03F">
            <w:pPr>
              <w:spacing w:before="156" w:beforeLines="50" w:after="156" w:afterLines="50"/>
              <w:jc w:val="center"/>
              <w:rPr>
                <w:b/>
                <w:color w:val="auto"/>
                <w:highlight w:val="none"/>
              </w:rPr>
            </w:pPr>
            <w:r>
              <w:rPr>
                <w:b/>
                <w:color w:val="auto"/>
                <w:highlight w:val="none"/>
              </w:rPr>
              <w:t>序号</w:t>
            </w:r>
          </w:p>
        </w:tc>
        <w:tc>
          <w:tcPr>
            <w:tcW w:w="1686" w:type="dxa"/>
            <w:noWrap w:val="0"/>
            <w:vAlign w:val="center"/>
          </w:tcPr>
          <w:p w14:paraId="3E4A3BF1">
            <w:pPr>
              <w:spacing w:before="156" w:beforeLines="50" w:after="156" w:afterLines="50"/>
              <w:jc w:val="center"/>
              <w:rPr>
                <w:b/>
                <w:color w:val="auto"/>
                <w:highlight w:val="none"/>
              </w:rPr>
            </w:pPr>
            <w:r>
              <w:rPr>
                <w:b/>
                <w:color w:val="auto"/>
                <w:highlight w:val="none"/>
              </w:rPr>
              <w:t>名称</w:t>
            </w:r>
          </w:p>
        </w:tc>
        <w:tc>
          <w:tcPr>
            <w:tcW w:w="6851" w:type="dxa"/>
            <w:noWrap w:val="0"/>
            <w:vAlign w:val="center"/>
          </w:tcPr>
          <w:p w14:paraId="3EFEB95B">
            <w:pPr>
              <w:spacing w:before="156" w:beforeLines="50" w:after="156" w:afterLines="50"/>
              <w:jc w:val="center"/>
              <w:rPr>
                <w:b/>
                <w:color w:val="auto"/>
                <w:highlight w:val="none"/>
              </w:rPr>
            </w:pPr>
            <w:r>
              <w:rPr>
                <w:b/>
                <w:color w:val="auto"/>
                <w:highlight w:val="none"/>
              </w:rPr>
              <w:t>详细技术指标及功能需求</w:t>
            </w:r>
          </w:p>
        </w:tc>
      </w:tr>
      <w:tr w14:paraId="58568C38">
        <w:trPr>
          <w:trHeight w:val="587" w:hRule="atLeast"/>
          <w:jc w:val="center"/>
        </w:trPr>
        <w:tc>
          <w:tcPr>
            <w:tcW w:w="672" w:type="dxa"/>
            <w:noWrap w:val="0"/>
            <w:vAlign w:val="center"/>
          </w:tcPr>
          <w:p w14:paraId="11CD53C6">
            <w:pPr>
              <w:jc w:val="center"/>
              <w:rPr>
                <w:color w:val="auto"/>
                <w:szCs w:val="21"/>
                <w:highlight w:val="none"/>
              </w:rPr>
            </w:pPr>
            <w:r>
              <w:rPr>
                <w:color w:val="auto"/>
                <w:szCs w:val="21"/>
                <w:highlight w:val="none"/>
              </w:rPr>
              <w:t>1</w:t>
            </w:r>
          </w:p>
        </w:tc>
        <w:tc>
          <w:tcPr>
            <w:tcW w:w="1686" w:type="dxa"/>
            <w:noWrap w:val="0"/>
            <w:vAlign w:val="center"/>
          </w:tcPr>
          <w:p w14:paraId="4A853489">
            <w:pPr>
              <w:jc w:val="left"/>
              <w:rPr>
                <w:color w:val="auto"/>
                <w:sz w:val="20"/>
                <w:szCs w:val="20"/>
                <w:highlight w:val="none"/>
              </w:rPr>
            </w:pPr>
            <w:r>
              <w:rPr>
                <w:rFonts w:hint="eastAsia"/>
                <w:color w:val="auto"/>
                <w:szCs w:val="21"/>
                <w:highlight w:val="none"/>
              </w:rPr>
              <w:t>原子级精度样件寿命检测设备</w:t>
            </w:r>
          </w:p>
        </w:tc>
        <w:tc>
          <w:tcPr>
            <w:tcW w:w="6851" w:type="dxa"/>
            <w:noWrap w:val="0"/>
            <w:vAlign w:val="center"/>
          </w:tcPr>
          <w:p w14:paraId="30879635">
            <w:pPr>
              <w:jc w:val="left"/>
              <w:rPr>
                <w:b/>
                <w:bCs/>
                <w:color w:val="auto"/>
                <w:sz w:val="28"/>
                <w:szCs w:val="28"/>
                <w:highlight w:val="none"/>
              </w:rPr>
            </w:pPr>
            <w:r>
              <w:rPr>
                <w:rFonts w:hint="eastAsia"/>
                <w:b/>
                <w:bCs/>
                <w:color w:val="auto"/>
                <w:sz w:val="24"/>
                <w:highlight w:val="none"/>
              </w:rPr>
              <w:t>一、寿命评估模块：</w:t>
            </w:r>
          </w:p>
          <w:p w14:paraId="10A4423F">
            <w:pPr>
              <w:jc w:val="left"/>
              <w:rPr>
                <w:color w:val="auto"/>
                <w:szCs w:val="21"/>
                <w:highlight w:val="none"/>
              </w:rPr>
            </w:pPr>
            <w:r>
              <w:rPr>
                <w:rFonts w:hint="eastAsia"/>
                <w:color w:val="auto"/>
                <w:szCs w:val="21"/>
                <w:highlight w:val="none"/>
              </w:rPr>
              <w:t>△1、试验轴承类型：角接触球轴承、深沟球轴承、圆柱滚子轴承、圆锥滚子轴承；</w:t>
            </w:r>
          </w:p>
          <w:p w14:paraId="6B823311">
            <w:pPr>
              <w:jc w:val="left"/>
              <w:rPr>
                <w:color w:val="auto"/>
                <w:szCs w:val="21"/>
                <w:highlight w:val="none"/>
              </w:rPr>
            </w:pPr>
            <w:r>
              <w:rPr>
                <w:rFonts w:hint="eastAsia"/>
                <w:color w:val="auto"/>
                <w:szCs w:val="21"/>
                <w:highlight w:val="none"/>
              </w:rPr>
              <w:t>★2、试验轴承尺寸：内径Ф5～25mm，最大外径Ø52mm；</w:t>
            </w:r>
          </w:p>
          <w:p w14:paraId="41F0C346">
            <w:pPr>
              <w:jc w:val="left"/>
              <w:rPr>
                <w:color w:val="auto"/>
                <w:szCs w:val="21"/>
                <w:highlight w:val="none"/>
              </w:rPr>
            </w:pPr>
            <w:r>
              <w:rPr>
                <w:rFonts w:hint="eastAsia"/>
                <w:color w:val="auto"/>
                <w:szCs w:val="21"/>
                <w:highlight w:val="none"/>
              </w:rPr>
              <w:t>#3、试验轴承转速：300～20000r/min±2% (无级可调)；扭矩测量时最高转速3000r/min；</w:t>
            </w:r>
          </w:p>
          <w:p w14:paraId="1A63EEDA">
            <w:pPr>
              <w:jc w:val="left"/>
              <w:rPr>
                <w:color w:val="auto"/>
                <w:szCs w:val="21"/>
                <w:highlight w:val="none"/>
              </w:rPr>
            </w:pPr>
            <w:r>
              <w:rPr>
                <w:rFonts w:hint="eastAsia"/>
                <w:color w:val="auto"/>
                <w:szCs w:val="21"/>
                <w:highlight w:val="none"/>
              </w:rPr>
              <w:t>△4、驱动方式：同步电主轴；</w:t>
            </w:r>
          </w:p>
          <w:p w14:paraId="28047CDC">
            <w:pPr>
              <w:jc w:val="left"/>
              <w:rPr>
                <w:color w:val="auto"/>
                <w:szCs w:val="21"/>
                <w:highlight w:val="none"/>
              </w:rPr>
            </w:pPr>
            <w:r>
              <w:rPr>
                <w:rFonts w:hint="eastAsia"/>
                <w:color w:val="auto"/>
                <w:szCs w:val="21"/>
                <w:highlight w:val="none"/>
              </w:rPr>
              <w:t>#5、加载方式：电缸加载；</w:t>
            </w:r>
          </w:p>
          <w:p w14:paraId="10B6E0F3">
            <w:pPr>
              <w:jc w:val="left"/>
              <w:rPr>
                <w:color w:val="auto"/>
                <w:szCs w:val="21"/>
                <w:highlight w:val="none"/>
              </w:rPr>
            </w:pPr>
            <w:r>
              <w:rPr>
                <w:rFonts w:hint="eastAsia"/>
                <w:color w:val="auto"/>
                <w:szCs w:val="21"/>
                <w:highlight w:val="none"/>
              </w:rPr>
              <w:t>#6、试验轴承数量：二套；</w:t>
            </w:r>
          </w:p>
          <w:p w14:paraId="43E20C10">
            <w:pPr>
              <w:jc w:val="left"/>
              <w:rPr>
                <w:color w:val="auto"/>
                <w:szCs w:val="21"/>
                <w:highlight w:val="none"/>
              </w:rPr>
            </w:pPr>
            <w:r>
              <w:rPr>
                <w:rFonts w:hint="eastAsia"/>
                <w:color w:val="auto"/>
                <w:szCs w:val="21"/>
                <w:highlight w:val="none"/>
              </w:rPr>
              <w:t>★7、最大径向载荷：10kN，精度±2%FS；</w:t>
            </w:r>
          </w:p>
          <w:p w14:paraId="618F0C9E">
            <w:pPr>
              <w:jc w:val="left"/>
              <w:rPr>
                <w:color w:val="auto"/>
                <w:szCs w:val="21"/>
                <w:highlight w:val="none"/>
              </w:rPr>
            </w:pPr>
            <w:r>
              <w:rPr>
                <w:rFonts w:hint="eastAsia"/>
                <w:color w:val="auto"/>
                <w:szCs w:val="21"/>
                <w:highlight w:val="none"/>
              </w:rPr>
              <w:t>★8、最大轴向载荷：5KN，精度±2%FS；</w:t>
            </w:r>
          </w:p>
          <w:p w14:paraId="3AAE3BB9">
            <w:pPr>
              <w:jc w:val="left"/>
              <w:rPr>
                <w:color w:val="auto"/>
                <w:szCs w:val="21"/>
                <w:highlight w:val="none"/>
              </w:rPr>
            </w:pPr>
            <w:r>
              <w:rPr>
                <w:rFonts w:hint="eastAsia"/>
                <w:color w:val="auto"/>
                <w:szCs w:val="21"/>
                <w:highlight w:val="none"/>
              </w:rPr>
              <w:t>#9、最大测量扭矩：20Nm,  精度±1%FS；</w:t>
            </w:r>
          </w:p>
          <w:p w14:paraId="3B3A95FB">
            <w:pPr>
              <w:jc w:val="left"/>
              <w:rPr>
                <w:color w:val="auto"/>
                <w:szCs w:val="21"/>
                <w:highlight w:val="none"/>
              </w:rPr>
            </w:pPr>
            <w:r>
              <w:rPr>
                <w:rFonts w:hint="eastAsia"/>
                <w:color w:val="auto"/>
                <w:szCs w:val="21"/>
                <w:highlight w:val="none"/>
              </w:rPr>
              <w:t>#10、润滑方式：油润滑或脂润滑；</w:t>
            </w:r>
          </w:p>
          <w:p w14:paraId="265CE7CB">
            <w:pPr>
              <w:jc w:val="left"/>
              <w:rPr>
                <w:color w:val="auto"/>
                <w:szCs w:val="21"/>
                <w:highlight w:val="none"/>
              </w:rPr>
            </w:pPr>
            <w:r>
              <w:rPr>
                <w:rFonts w:hint="eastAsia"/>
                <w:color w:val="auto"/>
                <w:szCs w:val="21"/>
                <w:highlight w:val="none"/>
              </w:rPr>
              <w:t>#11、测试参数：载荷、转速、温度、振动、电流；计算机显示试验轴承温度、振动值、转速、累计试验时间、径向和轴向载荷、振动时域和频域图形；</w:t>
            </w:r>
          </w:p>
          <w:p w14:paraId="2248D736">
            <w:pPr>
              <w:jc w:val="left"/>
              <w:rPr>
                <w:color w:val="auto"/>
                <w:szCs w:val="21"/>
                <w:highlight w:val="none"/>
              </w:rPr>
            </w:pPr>
            <w:r>
              <w:rPr>
                <w:rFonts w:hint="eastAsia"/>
                <w:color w:val="auto"/>
                <w:szCs w:val="21"/>
                <w:highlight w:val="none"/>
              </w:rPr>
              <w:t>△12、可设置报警温度值，越界自动停机；</w:t>
            </w:r>
          </w:p>
          <w:p w14:paraId="2C8C5A6E">
            <w:pPr>
              <w:jc w:val="left"/>
              <w:rPr>
                <w:color w:val="auto"/>
                <w:szCs w:val="21"/>
                <w:highlight w:val="none"/>
              </w:rPr>
            </w:pPr>
            <w:r>
              <w:rPr>
                <w:rFonts w:hint="eastAsia"/>
                <w:color w:val="auto"/>
                <w:szCs w:val="21"/>
                <w:highlight w:val="none"/>
              </w:rPr>
              <w:t>△13、可设置报警振动值，越界自动停机；</w:t>
            </w:r>
          </w:p>
          <w:p w14:paraId="3C0AD3ED">
            <w:pPr>
              <w:jc w:val="left"/>
              <w:rPr>
                <w:color w:val="auto"/>
                <w:szCs w:val="21"/>
                <w:highlight w:val="none"/>
              </w:rPr>
            </w:pPr>
            <w:r>
              <w:rPr>
                <w:rFonts w:hint="eastAsia"/>
                <w:color w:val="auto"/>
                <w:szCs w:val="21"/>
                <w:highlight w:val="none"/>
              </w:rPr>
              <w:t>△14、试验时间计算机屏幕累计显示，同时具有定时开关功能；</w:t>
            </w:r>
          </w:p>
          <w:p w14:paraId="62D54AFC">
            <w:pPr>
              <w:jc w:val="left"/>
              <w:rPr>
                <w:color w:val="auto"/>
                <w:szCs w:val="21"/>
                <w:highlight w:val="none"/>
              </w:rPr>
            </w:pPr>
            <w:r>
              <w:rPr>
                <w:rFonts w:hint="eastAsia"/>
                <w:color w:val="auto"/>
                <w:szCs w:val="21"/>
                <w:highlight w:val="none"/>
              </w:rPr>
              <w:t>△15、试验轴承失效或机器出现故障时自动报警和评判停机；</w:t>
            </w:r>
          </w:p>
          <w:p w14:paraId="3C9A898D">
            <w:pPr>
              <w:jc w:val="left"/>
              <w:rPr>
                <w:color w:val="auto"/>
                <w:szCs w:val="21"/>
                <w:highlight w:val="none"/>
              </w:rPr>
            </w:pPr>
            <w:r>
              <w:rPr>
                <w:rFonts w:hint="eastAsia"/>
                <w:color w:val="auto"/>
                <w:szCs w:val="21"/>
                <w:highlight w:val="none"/>
              </w:rPr>
              <w:t>△16、试验时间、振动值、温度等数据存盘时间可调；</w:t>
            </w:r>
          </w:p>
          <w:p w14:paraId="347534F2">
            <w:pPr>
              <w:jc w:val="left"/>
              <w:rPr>
                <w:color w:val="auto"/>
                <w:szCs w:val="21"/>
                <w:highlight w:val="none"/>
              </w:rPr>
            </w:pPr>
            <w:r>
              <w:rPr>
                <w:rFonts w:hint="eastAsia"/>
                <w:color w:val="auto"/>
                <w:szCs w:val="21"/>
                <w:highlight w:val="none"/>
              </w:rPr>
              <w:t>△17、可以编制载荷谱，自动施加预定的变载荷，可程控变载变速；</w:t>
            </w:r>
          </w:p>
          <w:p w14:paraId="7656928C">
            <w:pPr>
              <w:jc w:val="left"/>
              <w:rPr>
                <w:color w:val="auto"/>
                <w:szCs w:val="21"/>
                <w:highlight w:val="none"/>
              </w:rPr>
            </w:pPr>
            <w:r>
              <w:rPr>
                <w:rFonts w:hint="eastAsia"/>
                <w:color w:val="auto"/>
                <w:szCs w:val="21"/>
                <w:highlight w:val="none"/>
              </w:rPr>
              <w:t>△18、计算机自动控制、自动监测、试验机能在无人监控下安全运行。</w:t>
            </w:r>
          </w:p>
          <w:p w14:paraId="285FF003">
            <w:pPr>
              <w:jc w:val="left"/>
              <w:rPr>
                <w:color w:val="auto"/>
                <w:szCs w:val="21"/>
                <w:highlight w:val="none"/>
              </w:rPr>
            </w:pPr>
          </w:p>
          <w:p w14:paraId="7D97959F">
            <w:pPr>
              <w:jc w:val="left"/>
              <w:rPr>
                <w:b/>
                <w:bCs/>
                <w:color w:val="auto"/>
                <w:sz w:val="24"/>
                <w:highlight w:val="none"/>
              </w:rPr>
            </w:pPr>
            <w:r>
              <w:rPr>
                <w:rFonts w:hint="eastAsia"/>
                <w:b/>
                <w:bCs/>
                <w:color w:val="auto"/>
                <w:sz w:val="24"/>
                <w:highlight w:val="none"/>
              </w:rPr>
              <w:t>二、摩擦磨损性能测试与评定模块</w:t>
            </w:r>
          </w:p>
          <w:p w14:paraId="664E46CF">
            <w:pPr>
              <w:jc w:val="left"/>
              <w:rPr>
                <w:color w:val="auto"/>
                <w:szCs w:val="21"/>
                <w:highlight w:val="none"/>
              </w:rPr>
            </w:pPr>
            <w:r>
              <w:rPr>
                <w:rFonts w:hint="eastAsia"/>
                <w:color w:val="auto"/>
                <w:szCs w:val="21"/>
                <w:highlight w:val="none"/>
              </w:rPr>
              <w:t>#1、试验力加载范围：5-100N，自动加载，无级可调；</w:t>
            </w:r>
          </w:p>
          <w:p w14:paraId="03611F72">
            <w:pPr>
              <w:jc w:val="left"/>
              <w:rPr>
                <w:color w:val="auto"/>
                <w:szCs w:val="21"/>
                <w:highlight w:val="none"/>
              </w:rPr>
            </w:pPr>
            <w:r>
              <w:rPr>
                <w:rFonts w:hint="eastAsia"/>
                <w:color w:val="auto"/>
                <w:szCs w:val="21"/>
                <w:highlight w:val="none"/>
              </w:rPr>
              <w:t>#2、</w:t>
            </w:r>
            <w:r>
              <w:rPr>
                <w:color w:val="auto"/>
                <w:szCs w:val="21"/>
                <w:highlight w:val="none"/>
              </w:rPr>
              <w:t>试验力示值相对误差</w:t>
            </w:r>
            <w:r>
              <w:rPr>
                <w:rFonts w:hint="eastAsia"/>
                <w:color w:val="auto"/>
                <w:szCs w:val="21"/>
                <w:highlight w:val="none"/>
              </w:rPr>
              <w:t>：</w:t>
            </w:r>
            <w:r>
              <w:rPr>
                <w:color w:val="auto"/>
                <w:szCs w:val="21"/>
                <w:highlight w:val="none"/>
              </w:rPr>
              <w:t>≤±1%</w:t>
            </w:r>
            <w:r>
              <w:rPr>
                <w:rFonts w:hint="eastAsia"/>
                <w:color w:val="auto"/>
                <w:szCs w:val="21"/>
                <w:highlight w:val="none"/>
              </w:rPr>
              <w:t>；</w:t>
            </w:r>
          </w:p>
          <w:p w14:paraId="56A2C71A">
            <w:pPr>
              <w:jc w:val="left"/>
              <w:rPr>
                <w:color w:val="auto"/>
                <w:szCs w:val="21"/>
                <w:highlight w:val="none"/>
              </w:rPr>
            </w:pPr>
            <w:r>
              <w:rPr>
                <w:rFonts w:hint="eastAsia"/>
                <w:color w:val="auto"/>
                <w:szCs w:val="21"/>
                <w:highlight w:val="none"/>
              </w:rPr>
              <w:t>#3、可测得得最大摩擦力：30N；</w:t>
            </w:r>
          </w:p>
          <w:p w14:paraId="6E49B60C">
            <w:pPr>
              <w:jc w:val="left"/>
              <w:rPr>
                <w:color w:val="auto"/>
                <w:szCs w:val="21"/>
                <w:highlight w:val="none"/>
              </w:rPr>
            </w:pPr>
            <w:r>
              <w:rPr>
                <w:rFonts w:hint="eastAsia"/>
                <w:color w:val="auto"/>
                <w:szCs w:val="21"/>
                <w:highlight w:val="none"/>
              </w:rPr>
              <w:t>★4、加热温度范围：室温～200℃；</w:t>
            </w:r>
          </w:p>
          <w:p w14:paraId="516CFF14">
            <w:pPr>
              <w:jc w:val="left"/>
              <w:rPr>
                <w:color w:val="auto"/>
                <w:szCs w:val="21"/>
                <w:highlight w:val="none"/>
              </w:rPr>
            </w:pPr>
            <w:r>
              <w:rPr>
                <w:rFonts w:hint="eastAsia"/>
                <w:color w:val="auto"/>
                <w:szCs w:val="21"/>
                <w:highlight w:val="none"/>
              </w:rPr>
              <w:t>★5、最高线速度：120m/s；</w:t>
            </w:r>
          </w:p>
          <w:p w14:paraId="5801A15A">
            <w:pPr>
              <w:jc w:val="left"/>
              <w:rPr>
                <w:color w:val="auto"/>
                <w:szCs w:val="21"/>
                <w:highlight w:val="none"/>
              </w:rPr>
            </w:pPr>
            <w:r>
              <w:rPr>
                <w:rFonts w:hint="eastAsia"/>
                <w:color w:val="auto"/>
                <w:szCs w:val="21"/>
                <w:highlight w:val="none"/>
              </w:rPr>
              <w:t>★6、摩擦形式：环-块；</w:t>
            </w:r>
          </w:p>
          <w:p w14:paraId="3761ACB0">
            <w:pPr>
              <w:jc w:val="left"/>
              <w:rPr>
                <w:color w:val="auto"/>
                <w:szCs w:val="21"/>
                <w:highlight w:val="none"/>
              </w:rPr>
            </w:pPr>
            <w:r>
              <w:rPr>
                <w:rFonts w:hint="eastAsia"/>
                <w:color w:val="auto"/>
                <w:szCs w:val="21"/>
                <w:highlight w:val="none"/>
              </w:rPr>
              <w:t>△7、介质条件：干摩擦、油循环；</w:t>
            </w:r>
          </w:p>
          <w:p w14:paraId="45637525">
            <w:pPr>
              <w:jc w:val="left"/>
              <w:rPr>
                <w:color w:val="auto"/>
                <w:szCs w:val="21"/>
                <w:highlight w:val="none"/>
              </w:rPr>
            </w:pPr>
            <w:r>
              <w:rPr>
                <w:rFonts w:hint="eastAsia"/>
                <w:color w:val="auto"/>
                <w:szCs w:val="21"/>
                <w:highlight w:val="none"/>
              </w:rPr>
              <w:t>△8、试验机控制方式：微机控制；</w:t>
            </w:r>
          </w:p>
          <w:p w14:paraId="15EAD330">
            <w:pPr>
              <w:jc w:val="left"/>
              <w:rPr>
                <w:color w:val="auto"/>
                <w:szCs w:val="21"/>
                <w:highlight w:val="none"/>
              </w:rPr>
            </w:pPr>
            <w:r>
              <w:rPr>
                <w:rFonts w:hint="eastAsia"/>
                <w:color w:val="auto"/>
                <w:szCs w:val="21"/>
                <w:highlight w:val="none"/>
              </w:rPr>
              <w:t>△9、主轴转数显示范围</w:t>
            </w:r>
            <w:r>
              <w:rPr>
                <w:rFonts w:hint="eastAsia"/>
                <w:color w:val="auto"/>
                <w:szCs w:val="21"/>
                <w:highlight w:val="none"/>
              </w:rPr>
              <w:tab/>
            </w:r>
            <w:r>
              <w:rPr>
                <w:rFonts w:hint="eastAsia"/>
                <w:color w:val="auto"/>
                <w:szCs w:val="21"/>
                <w:highlight w:val="none"/>
              </w:rPr>
              <w:t>0~9999999；</w:t>
            </w:r>
          </w:p>
          <w:p w14:paraId="0FFC684E">
            <w:pPr>
              <w:jc w:val="left"/>
              <w:rPr>
                <w:color w:val="auto"/>
                <w:szCs w:val="21"/>
                <w:highlight w:val="none"/>
              </w:rPr>
            </w:pPr>
            <w:r>
              <w:rPr>
                <w:rFonts w:hint="eastAsia"/>
                <w:color w:val="auto"/>
                <w:szCs w:val="21"/>
                <w:highlight w:val="none"/>
              </w:rPr>
              <w:t>△10、时间显示范围与控制精度：1s～9999min±1；</w:t>
            </w:r>
          </w:p>
          <w:p w14:paraId="202D2A59">
            <w:pPr>
              <w:jc w:val="left"/>
              <w:rPr>
                <w:color w:val="auto"/>
                <w:szCs w:val="21"/>
                <w:highlight w:val="none"/>
              </w:rPr>
            </w:pPr>
            <w:r>
              <w:rPr>
                <w:rFonts w:hint="eastAsia"/>
                <w:color w:val="auto"/>
                <w:szCs w:val="21"/>
                <w:highlight w:val="none"/>
              </w:rPr>
              <w:t>△11、停机控制方式：手动/自动（时间、试验力、转数等）；</w:t>
            </w:r>
          </w:p>
          <w:p w14:paraId="0FE364B7">
            <w:pPr>
              <w:jc w:val="left"/>
              <w:rPr>
                <w:color w:val="auto"/>
                <w:szCs w:val="21"/>
                <w:highlight w:val="none"/>
              </w:rPr>
            </w:pPr>
            <w:r>
              <w:rPr>
                <w:rFonts w:hint="eastAsia"/>
                <w:color w:val="auto"/>
                <w:szCs w:val="21"/>
                <w:highlight w:val="none"/>
              </w:rPr>
              <w:t>★12、电控及操作软件：支持实验条件分段设置、实时数据显示、实时曲线绘制、实验数据导出（Excel / TXT格式）、历史数据读入与后处理功能。可实现与实验室其他设备接口互操作，构建实验室综合管理系统；</w:t>
            </w:r>
          </w:p>
          <w:p w14:paraId="49E47AA5">
            <w:pPr>
              <w:jc w:val="left"/>
              <w:rPr>
                <w:color w:val="auto"/>
                <w:szCs w:val="21"/>
                <w:highlight w:val="none"/>
              </w:rPr>
            </w:pPr>
            <w:r>
              <w:rPr>
                <w:rFonts w:hint="eastAsia"/>
                <w:color w:val="auto"/>
                <w:szCs w:val="21"/>
                <w:highlight w:val="none"/>
              </w:rPr>
              <w:t>△13、试验机电器设备质量、装配质量和外观质量符合GB/T2611的有关规定。</w:t>
            </w:r>
          </w:p>
        </w:tc>
      </w:tr>
      <w:tr w14:paraId="69DD221E">
        <w:trPr>
          <w:trHeight w:val="587" w:hRule="atLeast"/>
          <w:jc w:val="center"/>
        </w:trPr>
        <w:tc>
          <w:tcPr>
            <w:tcW w:w="672" w:type="dxa"/>
            <w:noWrap w:val="0"/>
            <w:vAlign w:val="center"/>
          </w:tcPr>
          <w:p w14:paraId="420EB28B">
            <w:pPr>
              <w:jc w:val="center"/>
              <w:rPr>
                <w:color w:val="auto"/>
                <w:szCs w:val="21"/>
                <w:highlight w:val="none"/>
              </w:rPr>
            </w:pPr>
            <w:r>
              <w:rPr>
                <w:color w:val="auto"/>
                <w:szCs w:val="21"/>
                <w:highlight w:val="none"/>
              </w:rPr>
              <w:t>2</w:t>
            </w:r>
          </w:p>
        </w:tc>
        <w:tc>
          <w:tcPr>
            <w:tcW w:w="1686" w:type="dxa"/>
            <w:noWrap w:val="0"/>
            <w:vAlign w:val="center"/>
          </w:tcPr>
          <w:p w14:paraId="6F18BC1E">
            <w:pPr>
              <w:jc w:val="left"/>
              <w:rPr>
                <w:color w:val="auto"/>
                <w:szCs w:val="21"/>
                <w:highlight w:val="none"/>
              </w:rPr>
            </w:pPr>
            <w:r>
              <w:rPr>
                <w:rFonts w:hint="eastAsia"/>
                <w:color w:val="auto"/>
                <w:szCs w:val="21"/>
                <w:highlight w:val="none"/>
              </w:rPr>
              <w:t>晶圆湿法原子级清洗设备</w:t>
            </w:r>
          </w:p>
        </w:tc>
        <w:tc>
          <w:tcPr>
            <w:tcW w:w="6851" w:type="dxa"/>
            <w:noWrap w:val="0"/>
            <w:vAlign w:val="center"/>
          </w:tcPr>
          <w:p w14:paraId="492E3ECC">
            <w:pPr>
              <w:jc w:val="left"/>
              <w:rPr>
                <w:b/>
                <w:bCs/>
                <w:color w:val="auto"/>
                <w:sz w:val="24"/>
                <w:highlight w:val="none"/>
              </w:rPr>
            </w:pPr>
            <w:r>
              <w:rPr>
                <w:rFonts w:hint="eastAsia"/>
                <w:b/>
                <w:bCs/>
                <w:color w:val="auto"/>
                <w:sz w:val="24"/>
                <w:highlight w:val="none"/>
              </w:rPr>
              <w:t>一、晶圆清洗模块</w:t>
            </w:r>
          </w:p>
          <w:p w14:paraId="12B47208">
            <w:pPr>
              <w:jc w:val="left"/>
              <w:rPr>
                <w:b/>
                <w:bCs/>
                <w:color w:val="auto"/>
                <w:szCs w:val="21"/>
                <w:highlight w:val="none"/>
              </w:rPr>
            </w:pPr>
            <w:r>
              <w:rPr>
                <w:rFonts w:hint="eastAsia"/>
                <w:b/>
                <w:bCs/>
                <w:color w:val="auto"/>
                <w:szCs w:val="21"/>
                <w:highlight w:val="none"/>
              </w:rPr>
              <w:t>1、整机基础结构</w:t>
            </w:r>
          </w:p>
          <w:p w14:paraId="7E54CA84">
            <w:pPr>
              <w:jc w:val="left"/>
              <w:rPr>
                <w:rFonts w:hint="eastAsia"/>
                <w:color w:val="auto"/>
                <w:szCs w:val="21"/>
                <w:highlight w:val="none"/>
              </w:rPr>
            </w:pPr>
            <w:r>
              <w:rPr>
                <w:rFonts w:hint="eastAsia"/>
                <w:color w:val="auto"/>
                <w:szCs w:val="21"/>
                <w:highlight w:val="none"/>
              </w:rPr>
              <w:t>△1.1 整机采用立式金属防振台架，模块化工位布局；</w:t>
            </w:r>
          </w:p>
          <w:p w14:paraId="16721D4E">
            <w:pPr>
              <w:jc w:val="left"/>
              <w:rPr>
                <w:color w:val="auto"/>
                <w:szCs w:val="21"/>
                <w:highlight w:val="none"/>
              </w:rPr>
            </w:pPr>
            <w:r>
              <w:rPr>
                <w:rFonts w:hint="eastAsia"/>
                <w:color w:val="auto"/>
                <w:szCs w:val="21"/>
                <w:highlight w:val="none"/>
              </w:rPr>
              <w:t>△1.2 设备集成预清洗单元、PVA 滚动刷工作模组、兆声喷淋清洗模组、真空旋转吸盘模组、热氮气干燥模组、化学药液供液系统六大标准工作模组。</w:t>
            </w:r>
          </w:p>
          <w:p w14:paraId="0E95CA53">
            <w:pPr>
              <w:jc w:val="left"/>
              <w:rPr>
                <w:b/>
                <w:bCs/>
                <w:color w:val="auto"/>
                <w:szCs w:val="21"/>
                <w:highlight w:val="none"/>
              </w:rPr>
            </w:pPr>
            <w:r>
              <w:rPr>
                <w:rFonts w:hint="eastAsia"/>
                <w:b/>
                <w:bCs/>
                <w:color w:val="auto"/>
                <w:szCs w:val="21"/>
                <w:highlight w:val="none"/>
              </w:rPr>
              <w:t>2、PVA 滚动刷工作模组</w:t>
            </w:r>
          </w:p>
          <w:p w14:paraId="33B23B4E">
            <w:pPr>
              <w:jc w:val="left"/>
              <w:rPr>
                <w:color w:val="auto"/>
                <w:szCs w:val="21"/>
                <w:highlight w:val="none"/>
              </w:rPr>
            </w:pPr>
            <w:r>
              <w:rPr>
                <w:rFonts w:hint="eastAsia"/>
                <w:color w:val="auto"/>
                <w:szCs w:val="21"/>
                <w:highlight w:val="none"/>
              </w:rPr>
              <w:t xml:space="preserve">★2.1 垂直加载驱动：丝杆电动驱动，最大垂直行程≥20mm，定位分辨率≤0.1mm，进给速度≤10mm/s； </w:t>
            </w:r>
          </w:p>
          <w:p w14:paraId="643C8E83">
            <w:pPr>
              <w:jc w:val="left"/>
              <w:rPr>
                <w:color w:val="auto"/>
                <w:szCs w:val="21"/>
                <w:highlight w:val="none"/>
              </w:rPr>
            </w:pPr>
            <w:r>
              <w:rPr>
                <w:rFonts w:hint="eastAsia"/>
                <w:color w:val="auto"/>
                <w:szCs w:val="21"/>
                <w:highlight w:val="none"/>
              </w:rPr>
              <w:t xml:space="preserve">★2.2 水平角度手动可调，调整范围≥±5°； </w:t>
            </w:r>
          </w:p>
          <w:p w14:paraId="101B7945">
            <w:pPr>
              <w:jc w:val="left"/>
              <w:rPr>
                <w:color w:val="auto"/>
                <w:szCs w:val="21"/>
                <w:highlight w:val="none"/>
              </w:rPr>
            </w:pPr>
            <w:r>
              <w:rPr>
                <w:rFonts w:hint="eastAsia"/>
                <w:color w:val="auto"/>
                <w:szCs w:val="21"/>
                <w:highlight w:val="none"/>
              </w:rPr>
              <w:t>★2.3 刷辊旋转转速范围 30～400RPM，转速波动＜±5%；</w:t>
            </w:r>
          </w:p>
          <w:p w14:paraId="059C0656">
            <w:pPr>
              <w:jc w:val="left"/>
              <w:rPr>
                <w:color w:val="auto"/>
                <w:szCs w:val="21"/>
                <w:highlight w:val="none"/>
              </w:rPr>
            </w:pPr>
            <w:r>
              <w:rPr>
                <w:rFonts w:hint="eastAsia"/>
                <w:color w:val="auto"/>
                <w:szCs w:val="21"/>
                <w:highlight w:val="none"/>
              </w:rPr>
              <w:t xml:space="preserve">△2.4 刷辊轴端跳≤0.04mm，轴径跳≤0.04mm； </w:t>
            </w:r>
          </w:p>
          <w:p w14:paraId="7D2D64EC">
            <w:pPr>
              <w:jc w:val="left"/>
              <w:rPr>
                <w:color w:val="auto"/>
                <w:szCs w:val="21"/>
                <w:highlight w:val="none"/>
              </w:rPr>
            </w:pPr>
            <w:r>
              <w:rPr>
                <w:rFonts w:hint="eastAsia"/>
                <w:color w:val="auto"/>
                <w:szCs w:val="21"/>
                <w:highlight w:val="none"/>
              </w:rPr>
              <w:t>△2.5 配置刷辊左右摆动功能，摆动角度≥10°，摆动角速度≤5°/s。</w:t>
            </w:r>
          </w:p>
          <w:p w14:paraId="7F5986AD">
            <w:pPr>
              <w:jc w:val="left"/>
              <w:rPr>
                <w:b/>
                <w:bCs/>
                <w:color w:val="auto"/>
                <w:szCs w:val="21"/>
                <w:highlight w:val="none"/>
              </w:rPr>
            </w:pPr>
            <w:r>
              <w:rPr>
                <w:rFonts w:hint="eastAsia"/>
                <w:b/>
                <w:bCs/>
                <w:color w:val="auto"/>
                <w:szCs w:val="21"/>
                <w:highlight w:val="none"/>
              </w:rPr>
              <w:t>3、真空旋转吸盘模组</w:t>
            </w:r>
          </w:p>
          <w:p w14:paraId="32D239A8">
            <w:pPr>
              <w:jc w:val="left"/>
              <w:rPr>
                <w:color w:val="auto"/>
                <w:szCs w:val="21"/>
                <w:highlight w:val="none"/>
              </w:rPr>
            </w:pPr>
            <w:r>
              <w:rPr>
                <w:rFonts w:hint="eastAsia"/>
                <w:color w:val="auto"/>
                <w:szCs w:val="21"/>
                <w:highlight w:val="none"/>
              </w:rPr>
              <w:t xml:space="preserve">★3.1 适配晶圆尺寸：2～6 英寸晶圆，自带晶圆对准机构，对准精度≤0.1mm； </w:t>
            </w:r>
          </w:p>
          <w:p w14:paraId="00566090">
            <w:pPr>
              <w:jc w:val="left"/>
              <w:rPr>
                <w:color w:val="auto"/>
                <w:szCs w:val="21"/>
                <w:highlight w:val="none"/>
              </w:rPr>
            </w:pPr>
            <w:r>
              <w:rPr>
                <w:rFonts w:hint="eastAsia"/>
                <w:color w:val="auto"/>
                <w:szCs w:val="21"/>
                <w:highlight w:val="none"/>
              </w:rPr>
              <w:t xml:space="preserve">△3.2 夹持方式：真空吸附夹持，真空度 0～70kPa 可调； </w:t>
            </w:r>
          </w:p>
          <w:p w14:paraId="7107BA1F">
            <w:pPr>
              <w:jc w:val="left"/>
              <w:rPr>
                <w:color w:val="auto"/>
                <w:szCs w:val="21"/>
                <w:highlight w:val="none"/>
              </w:rPr>
            </w:pPr>
            <w:r>
              <w:rPr>
                <w:rFonts w:hint="eastAsia"/>
                <w:color w:val="auto"/>
                <w:szCs w:val="21"/>
                <w:highlight w:val="none"/>
              </w:rPr>
              <w:t xml:space="preserve">★3.3 吸盘转速 0～2000RPM 连续可调，最大转速不低于 2000rpm； </w:t>
            </w:r>
          </w:p>
          <w:p w14:paraId="76C4C338">
            <w:pPr>
              <w:jc w:val="left"/>
              <w:rPr>
                <w:color w:val="auto"/>
                <w:szCs w:val="21"/>
                <w:highlight w:val="none"/>
              </w:rPr>
            </w:pPr>
            <w:r>
              <w:rPr>
                <w:rFonts w:hint="eastAsia"/>
                <w:color w:val="auto"/>
                <w:szCs w:val="21"/>
                <w:highlight w:val="none"/>
              </w:rPr>
              <w:t xml:space="preserve">△3.4 吸盘盘端跳≤0.04mm，盘径跳≤0.04mm； </w:t>
            </w:r>
          </w:p>
          <w:p w14:paraId="558CCAC8">
            <w:pPr>
              <w:jc w:val="left"/>
              <w:rPr>
                <w:color w:val="auto"/>
                <w:szCs w:val="21"/>
                <w:highlight w:val="none"/>
              </w:rPr>
            </w:pPr>
            <w:r>
              <w:rPr>
                <w:rFonts w:hint="eastAsia"/>
                <w:color w:val="auto"/>
                <w:szCs w:val="21"/>
                <w:highlight w:val="none"/>
              </w:rPr>
              <w:t>△3.5 最大承载重量≥1.0kg，满足 6 英寸晶圆稳定加工。</w:t>
            </w:r>
          </w:p>
          <w:p w14:paraId="08DFC2B2">
            <w:pPr>
              <w:jc w:val="left"/>
              <w:rPr>
                <w:b/>
                <w:bCs/>
                <w:color w:val="auto"/>
                <w:szCs w:val="21"/>
                <w:highlight w:val="none"/>
              </w:rPr>
            </w:pPr>
            <w:r>
              <w:rPr>
                <w:rFonts w:hint="eastAsia"/>
                <w:b/>
                <w:bCs/>
                <w:color w:val="auto"/>
                <w:szCs w:val="21"/>
                <w:highlight w:val="none"/>
              </w:rPr>
              <w:t>4、兆声喷淋清洗模组</w:t>
            </w:r>
          </w:p>
          <w:p w14:paraId="5CFCF759">
            <w:pPr>
              <w:jc w:val="left"/>
              <w:rPr>
                <w:color w:val="auto"/>
                <w:szCs w:val="21"/>
                <w:highlight w:val="none"/>
              </w:rPr>
            </w:pPr>
            <w:r>
              <w:rPr>
                <w:rFonts w:hint="eastAsia"/>
                <w:color w:val="auto"/>
                <w:szCs w:val="21"/>
                <w:highlight w:val="none"/>
              </w:rPr>
              <w:t xml:space="preserve">△4.1 兆声波标准频率 1.0MHz； </w:t>
            </w:r>
          </w:p>
          <w:p w14:paraId="6C9A81C3">
            <w:pPr>
              <w:jc w:val="left"/>
              <w:rPr>
                <w:color w:val="auto"/>
                <w:szCs w:val="21"/>
                <w:highlight w:val="none"/>
              </w:rPr>
            </w:pPr>
            <w:r>
              <w:rPr>
                <w:rFonts w:hint="eastAsia"/>
                <w:color w:val="auto"/>
                <w:szCs w:val="21"/>
                <w:highlight w:val="none"/>
              </w:rPr>
              <w:t>△4.2 兆声功率 0～40W 连续可调；</w:t>
            </w:r>
          </w:p>
          <w:p w14:paraId="45208090">
            <w:pPr>
              <w:jc w:val="left"/>
              <w:rPr>
                <w:color w:val="auto"/>
                <w:szCs w:val="21"/>
                <w:highlight w:val="none"/>
              </w:rPr>
            </w:pPr>
            <w:r>
              <w:rPr>
                <w:rFonts w:hint="eastAsia"/>
                <w:color w:val="auto"/>
                <w:szCs w:val="21"/>
                <w:highlight w:val="none"/>
              </w:rPr>
              <w:t xml:space="preserve">△4.3 去离子水 DIW 供给流量≥1.0L/min； </w:t>
            </w:r>
          </w:p>
          <w:p w14:paraId="401E9435">
            <w:pPr>
              <w:jc w:val="left"/>
              <w:rPr>
                <w:color w:val="auto"/>
                <w:szCs w:val="21"/>
                <w:highlight w:val="none"/>
              </w:rPr>
            </w:pPr>
            <w:r>
              <w:rPr>
                <w:rFonts w:hint="eastAsia"/>
                <w:color w:val="auto"/>
                <w:szCs w:val="21"/>
                <w:highlight w:val="none"/>
              </w:rPr>
              <w:t>△4.4 喷淋水温可控区间 10～40℃。</w:t>
            </w:r>
          </w:p>
          <w:p w14:paraId="0AE987FD">
            <w:pPr>
              <w:jc w:val="left"/>
              <w:rPr>
                <w:b/>
                <w:bCs/>
                <w:color w:val="auto"/>
                <w:szCs w:val="21"/>
                <w:highlight w:val="none"/>
              </w:rPr>
            </w:pPr>
            <w:r>
              <w:rPr>
                <w:rFonts w:hint="eastAsia"/>
                <w:b/>
                <w:bCs/>
                <w:color w:val="auto"/>
                <w:szCs w:val="21"/>
                <w:highlight w:val="none"/>
              </w:rPr>
              <w:t>5、热氮气干燥模组</w:t>
            </w:r>
          </w:p>
          <w:p w14:paraId="6E325043">
            <w:pPr>
              <w:jc w:val="left"/>
              <w:rPr>
                <w:color w:val="auto"/>
                <w:szCs w:val="21"/>
                <w:highlight w:val="none"/>
              </w:rPr>
            </w:pPr>
            <w:r>
              <w:rPr>
                <w:rFonts w:hint="eastAsia"/>
                <w:color w:val="auto"/>
                <w:szCs w:val="21"/>
                <w:highlight w:val="none"/>
              </w:rPr>
              <w:t xml:space="preserve">△5.1 热氮温度可调范围 20～70℃； </w:t>
            </w:r>
          </w:p>
          <w:p w14:paraId="7ACB9226">
            <w:pPr>
              <w:jc w:val="left"/>
              <w:rPr>
                <w:color w:val="auto"/>
                <w:szCs w:val="21"/>
                <w:highlight w:val="none"/>
              </w:rPr>
            </w:pPr>
            <w:r>
              <w:rPr>
                <w:rFonts w:hint="eastAsia"/>
                <w:color w:val="auto"/>
                <w:szCs w:val="21"/>
                <w:highlight w:val="none"/>
              </w:rPr>
              <w:t xml:space="preserve">#5.2 温度控制误差≤±1℃； </w:t>
            </w:r>
          </w:p>
          <w:p w14:paraId="5BB151A9">
            <w:pPr>
              <w:jc w:val="left"/>
              <w:rPr>
                <w:color w:val="auto"/>
                <w:szCs w:val="21"/>
                <w:highlight w:val="none"/>
              </w:rPr>
            </w:pPr>
            <w:r>
              <w:rPr>
                <w:rFonts w:hint="eastAsia"/>
                <w:color w:val="auto"/>
                <w:szCs w:val="21"/>
                <w:highlight w:val="none"/>
              </w:rPr>
              <w:t xml:space="preserve">△5.3 氮气压力 200kPa～400kPa（30～60psi）； </w:t>
            </w:r>
          </w:p>
          <w:p w14:paraId="17607F2A">
            <w:pPr>
              <w:jc w:val="left"/>
              <w:rPr>
                <w:color w:val="auto"/>
                <w:szCs w:val="21"/>
                <w:highlight w:val="none"/>
              </w:rPr>
            </w:pPr>
            <w:r>
              <w:rPr>
                <w:rFonts w:hint="eastAsia"/>
                <w:color w:val="auto"/>
                <w:szCs w:val="21"/>
                <w:highlight w:val="none"/>
              </w:rPr>
              <w:t>△5.4 配套氮气吹扫均匀出风结构，实现晶圆无水印干燥。</w:t>
            </w:r>
          </w:p>
          <w:p w14:paraId="326FE4FC">
            <w:pPr>
              <w:jc w:val="left"/>
              <w:rPr>
                <w:b/>
                <w:bCs/>
                <w:color w:val="auto"/>
                <w:szCs w:val="21"/>
                <w:highlight w:val="none"/>
              </w:rPr>
            </w:pPr>
            <w:r>
              <w:rPr>
                <w:rFonts w:hint="eastAsia"/>
                <w:b/>
                <w:bCs/>
                <w:color w:val="auto"/>
                <w:szCs w:val="21"/>
                <w:highlight w:val="none"/>
              </w:rPr>
              <w:t>6、化学药液供液系统</w:t>
            </w:r>
          </w:p>
          <w:p w14:paraId="59EFF618">
            <w:pPr>
              <w:jc w:val="left"/>
              <w:rPr>
                <w:color w:val="auto"/>
                <w:szCs w:val="21"/>
                <w:highlight w:val="none"/>
              </w:rPr>
            </w:pPr>
            <w:r>
              <w:rPr>
                <w:rFonts w:hint="eastAsia"/>
                <w:color w:val="auto"/>
                <w:szCs w:val="21"/>
                <w:highlight w:val="none"/>
              </w:rPr>
              <w:t xml:space="preserve">△6.1 支持 SC-1、SC-2、DHF 三类标准半导体清洗药液供给； </w:t>
            </w:r>
          </w:p>
          <w:p w14:paraId="69FB23E2">
            <w:pPr>
              <w:jc w:val="left"/>
              <w:rPr>
                <w:color w:val="auto"/>
                <w:szCs w:val="21"/>
                <w:highlight w:val="none"/>
              </w:rPr>
            </w:pPr>
            <w:r>
              <w:rPr>
                <w:rFonts w:hint="eastAsia"/>
                <w:color w:val="auto"/>
                <w:szCs w:val="21"/>
                <w:highlight w:val="none"/>
              </w:rPr>
              <w:t xml:space="preserve">△6.2 SC-1 药液配比浓度可预设，浓度浮动控制在 ±5% 以内； </w:t>
            </w:r>
          </w:p>
          <w:p w14:paraId="1B96A05F">
            <w:pPr>
              <w:jc w:val="left"/>
              <w:rPr>
                <w:color w:val="auto"/>
                <w:szCs w:val="21"/>
                <w:highlight w:val="none"/>
              </w:rPr>
            </w:pPr>
            <w:r>
              <w:rPr>
                <w:rFonts w:hint="eastAsia"/>
                <w:color w:val="auto"/>
                <w:szCs w:val="21"/>
                <w:highlight w:val="none"/>
              </w:rPr>
              <w:t xml:space="preserve">△6.3 DIW 去离子水总供给流量≥1000mL/min； </w:t>
            </w:r>
          </w:p>
          <w:p w14:paraId="5CF257BB">
            <w:pPr>
              <w:jc w:val="left"/>
              <w:rPr>
                <w:color w:val="auto"/>
                <w:szCs w:val="21"/>
                <w:highlight w:val="none"/>
              </w:rPr>
            </w:pPr>
            <w:r>
              <w:rPr>
                <w:rFonts w:hint="eastAsia"/>
                <w:color w:val="auto"/>
                <w:szCs w:val="21"/>
                <w:highlight w:val="none"/>
              </w:rPr>
              <w:t xml:space="preserve">△6.4 SC-1 流量 0～80mL/min、SC-2 流量 0～120mL/min 独立可调； </w:t>
            </w:r>
          </w:p>
          <w:p w14:paraId="67462675">
            <w:pPr>
              <w:jc w:val="left"/>
              <w:rPr>
                <w:color w:val="auto"/>
                <w:szCs w:val="21"/>
                <w:highlight w:val="none"/>
              </w:rPr>
            </w:pPr>
            <w:r>
              <w:rPr>
                <w:rFonts w:hint="eastAsia"/>
                <w:color w:val="auto"/>
                <w:szCs w:val="21"/>
                <w:highlight w:val="none"/>
              </w:rPr>
              <w:t>△6.5 配备独立废液排废管路，分类收集酸碱废液。</w:t>
            </w:r>
          </w:p>
          <w:p w14:paraId="4C7A9F6E">
            <w:pPr>
              <w:numPr>
                <w:ilvl w:val="0"/>
                <w:numId w:val="3"/>
              </w:numPr>
              <w:jc w:val="left"/>
              <w:rPr>
                <w:b/>
                <w:bCs/>
                <w:color w:val="auto"/>
                <w:szCs w:val="21"/>
                <w:highlight w:val="none"/>
              </w:rPr>
            </w:pPr>
            <w:r>
              <w:rPr>
                <w:rFonts w:hint="eastAsia"/>
                <w:b/>
                <w:bCs/>
                <w:color w:val="auto"/>
                <w:szCs w:val="21"/>
                <w:highlight w:val="none"/>
              </w:rPr>
              <w:t>预清洗单元</w:t>
            </w:r>
          </w:p>
          <w:p w14:paraId="4D5CE769">
            <w:pPr>
              <w:jc w:val="left"/>
              <w:rPr>
                <w:color w:val="auto"/>
                <w:szCs w:val="21"/>
                <w:highlight w:val="none"/>
              </w:rPr>
            </w:pPr>
            <w:r>
              <w:rPr>
                <w:rFonts w:hint="eastAsia"/>
                <w:color w:val="auto"/>
                <w:szCs w:val="21"/>
                <w:highlight w:val="none"/>
              </w:rPr>
              <w:t>△7.1、配备高压去离子水刀预清洗工位，可对晶圆表面进行前置大流量冲洗，去除表面大颗粒污染物。</w:t>
            </w:r>
          </w:p>
          <w:p w14:paraId="5999E17A">
            <w:pPr>
              <w:jc w:val="left"/>
              <w:rPr>
                <w:b/>
                <w:bCs/>
                <w:color w:val="auto"/>
                <w:szCs w:val="21"/>
                <w:highlight w:val="none"/>
              </w:rPr>
            </w:pPr>
            <w:r>
              <w:rPr>
                <w:rFonts w:hint="eastAsia"/>
                <w:b/>
                <w:bCs/>
                <w:color w:val="auto"/>
                <w:szCs w:val="21"/>
                <w:highlight w:val="none"/>
              </w:rPr>
              <w:t>8、通用控制与安全要求</w:t>
            </w:r>
          </w:p>
          <w:p w14:paraId="2CDE0107">
            <w:pPr>
              <w:jc w:val="left"/>
              <w:rPr>
                <w:color w:val="auto"/>
                <w:szCs w:val="21"/>
                <w:highlight w:val="none"/>
              </w:rPr>
            </w:pPr>
            <w:r>
              <w:rPr>
                <w:rFonts w:hint="eastAsia"/>
                <w:color w:val="auto"/>
                <w:szCs w:val="21"/>
                <w:highlight w:val="none"/>
              </w:rPr>
              <w:t xml:space="preserve">#8.1 PLC 可编程控制系统，支持多段清洗工艺程序存储、一键调用； </w:t>
            </w:r>
          </w:p>
          <w:p w14:paraId="15186526">
            <w:pPr>
              <w:jc w:val="left"/>
              <w:rPr>
                <w:color w:val="auto"/>
                <w:szCs w:val="21"/>
                <w:highlight w:val="none"/>
              </w:rPr>
            </w:pPr>
            <w:r>
              <w:rPr>
                <w:rFonts w:hint="eastAsia"/>
                <w:color w:val="auto"/>
                <w:szCs w:val="21"/>
                <w:highlight w:val="none"/>
              </w:rPr>
              <w:t>△8.2 具备漏液检测、电机过载保护、设备急停、真空异常报警功能；</w:t>
            </w:r>
          </w:p>
          <w:p w14:paraId="765925AE">
            <w:pPr>
              <w:jc w:val="left"/>
              <w:rPr>
                <w:color w:val="auto"/>
                <w:szCs w:val="21"/>
                <w:highlight w:val="none"/>
              </w:rPr>
            </w:pPr>
            <w:r>
              <w:rPr>
                <w:rFonts w:hint="eastAsia"/>
                <w:color w:val="auto"/>
                <w:szCs w:val="21"/>
                <w:highlight w:val="none"/>
              </w:rPr>
              <w:t xml:space="preserve">△8.3 所有与药液接触腔体、管路采用耐腐蚀 PFA/PP 材质，无金属离子析出污染晶圆； </w:t>
            </w:r>
          </w:p>
          <w:p w14:paraId="502113D4">
            <w:pPr>
              <w:jc w:val="left"/>
              <w:rPr>
                <w:color w:val="auto"/>
                <w:szCs w:val="21"/>
                <w:highlight w:val="none"/>
              </w:rPr>
            </w:pPr>
            <w:r>
              <w:rPr>
                <w:rFonts w:hint="eastAsia"/>
                <w:color w:val="auto"/>
                <w:szCs w:val="21"/>
                <w:highlight w:val="none"/>
              </w:rPr>
              <w:t>△8.4 整机配套排风系统，控制清洗酸碱废气外溢。</w:t>
            </w:r>
          </w:p>
          <w:p w14:paraId="37D7D03F">
            <w:pPr>
              <w:jc w:val="left"/>
              <w:rPr>
                <w:color w:val="auto"/>
                <w:szCs w:val="21"/>
                <w:highlight w:val="none"/>
              </w:rPr>
            </w:pPr>
          </w:p>
          <w:p w14:paraId="76391847">
            <w:pPr>
              <w:jc w:val="left"/>
              <w:rPr>
                <w:b/>
                <w:bCs/>
                <w:color w:val="auto"/>
                <w:sz w:val="24"/>
                <w:highlight w:val="none"/>
              </w:rPr>
            </w:pPr>
            <w:r>
              <w:rPr>
                <w:rFonts w:hint="eastAsia"/>
                <w:b/>
                <w:bCs/>
                <w:color w:val="auto"/>
                <w:sz w:val="24"/>
                <w:highlight w:val="none"/>
              </w:rPr>
              <w:t>二、晶圆表面形貌观测模块</w:t>
            </w:r>
          </w:p>
          <w:p w14:paraId="1130F54B">
            <w:pPr>
              <w:jc w:val="left"/>
              <w:rPr>
                <w:color w:val="auto"/>
                <w:szCs w:val="21"/>
                <w:highlight w:val="none"/>
              </w:rPr>
            </w:pPr>
            <w:r>
              <w:rPr>
                <w:rFonts w:hint="eastAsia"/>
                <w:color w:val="auto"/>
                <w:szCs w:val="21"/>
                <w:highlight w:val="none"/>
              </w:rPr>
              <w:t>△1、光学系统： HC无限远复消色差，轴向、径向双重色差校正及反差增强型光学系统，齐焦距离45mm。光学部件镀膜具有防霉功能，整机支持25mm光路；</w:t>
            </w:r>
          </w:p>
          <w:p w14:paraId="22728257">
            <w:pPr>
              <w:jc w:val="left"/>
              <w:rPr>
                <w:color w:val="auto"/>
                <w:szCs w:val="21"/>
                <w:highlight w:val="none"/>
              </w:rPr>
            </w:pPr>
            <w:r>
              <w:rPr>
                <w:rFonts w:hint="eastAsia"/>
                <w:color w:val="auto"/>
                <w:szCs w:val="21"/>
                <w:highlight w:val="none"/>
              </w:rPr>
              <w:t>#2、反射光观察方式：具备明场、暗场、偏光、斜射光三维照明。具备预留功能位置，便于日后升级荧光/紫外等观察方法。功能转换方便，一键式操作，快速查看样品表面特点；</w:t>
            </w:r>
          </w:p>
          <w:p w14:paraId="51EBD6EE">
            <w:pPr>
              <w:jc w:val="left"/>
              <w:rPr>
                <w:color w:val="auto"/>
                <w:szCs w:val="21"/>
                <w:highlight w:val="none"/>
              </w:rPr>
            </w:pPr>
            <w:r>
              <w:rPr>
                <w:rFonts w:hint="eastAsia"/>
                <w:color w:val="auto"/>
                <w:szCs w:val="21"/>
                <w:highlight w:val="none"/>
              </w:rPr>
              <w:t>#3、斜射光三维照明：可以调整反射光的角度，实现三维照明，增加显微图像的立体感和浮凸感，便于观察微小的结构，如划痕、缺陷等；</w:t>
            </w:r>
          </w:p>
          <w:p w14:paraId="30A3D35D">
            <w:pPr>
              <w:jc w:val="left"/>
              <w:rPr>
                <w:color w:val="auto"/>
                <w:szCs w:val="21"/>
                <w:highlight w:val="none"/>
              </w:rPr>
            </w:pPr>
            <w:r>
              <w:rPr>
                <w:rFonts w:hint="eastAsia"/>
                <w:color w:val="auto"/>
                <w:szCs w:val="21"/>
                <w:highlight w:val="none"/>
              </w:rPr>
              <w:t>△4、偏光功能，可以实现单偏光、正交偏光，检偏器0~180°可调；</w:t>
            </w:r>
          </w:p>
          <w:p w14:paraId="4412A956">
            <w:pPr>
              <w:jc w:val="left"/>
              <w:rPr>
                <w:color w:val="auto"/>
                <w:szCs w:val="21"/>
                <w:highlight w:val="none"/>
              </w:rPr>
            </w:pPr>
            <w:r>
              <w:rPr>
                <w:rFonts w:hint="eastAsia"/>
                <w:color w:val="auto"/>
                <w:szCs w:val="21"/>
                <w:highlight w:val="none"/>
              </w:rPr>
              <w:t>△5、具有4位转盘的强大入射光轴，位于反射光轴前端，数字标示，适用于明场、暗场、微分干涉、偏光以及荧光用途；</w:t>
            </w:r>
          </w:p>
          <w:p w14:paraId="77BA47ED">
            <w:pPr>
              <w:jc w:val="left"/>
              <w:rPr>
                <w:color w:val="auto"/>
                <w:szCs w:val="21"/>
                <w:highlight w:val="none"/>
              </w:rPr>
            </w:pPr>
            <w:r>
              <w:rPr>
                <w:rFonts w:hint="eastAsia"/>
                <w:color w:val="auto"/>
                <w:szCs w:val="21"/>
                <w:highlight w:val="none"/>
              </w:rPr>
              <w:t>△6、调焦系统：高度可调节的调焦旋钮，可根据手腕位置调整舒适高度，适用于不同使用者的大小手，配置嵌入式调焦限位装置；</w:t>
            </w:r>
          </w:p>
          <w:p w14:paraId="036842FE">
            <w:pPr>
              <w:jc w:val="left"/>
              <w:rPr>
                <w:color w:val="auto"/>
                <w:szCs w:val="21"/>
                <w:highlight w:val="none"/>
              </w:rPr>
            </w:pPr>
            <w:r>
              <w:rPr>
                <w:rFonts w:hint="eastAsia"/>
                <w:color w:val="auto"/>
                <w:szCs w:val="21"/>
                <w:highlight w:val="none"/>
              </w:rPr>
              <w:t>★7、三级同轴调焦装置，具备粗调/中调（4um）/微调（1um）三种模式，最高调焦精度1μm，保证高倍小景深下连续调焦不漏焦；</w:t>
            </w:r>
          </w:p>
          <w:p w14:paraId="708F70A7">
            <w:pPr>
              <w:jc w:val="left"/>
              <w:rPr>
                <w:color w:val="auto"/>
                <w:szCs w:val="21"/>
                <w:highlight w:val="none"/>
              </w:rPr>
            </w:pPr>
            <w:r>
              <w:rPr>
                <w:rFonts w:hint="eastAsia"/>
                <w:color w:val="auto"/>
                <w:szCs w:val="21"/>
                <w:highlight w:val="none"/>
              </w:rPr>
              <w:t>△8、光学放大倍数：50倍、100倍、200倍、500倍、1000倍；</w:t>
            </w:r>
          </w:p>
          <w:p w14:paraId="25CA8C8D">
            <w:pPr>
              <w:jc w:val="left"/>
              <w:rPr>
                <w:color w:val="auto"/>
                <w:szCs w:val="21"/>
                <w:highlight w:val="none"/>
              </w:rPr>
            </w:pPr>
            <w:r>
              <w:rPr>
                <w:rFonts w:hint="eastAsia"/>
                <w:color w:val="auto"/>
                <w:szCs w:val="21"/>
                <w:highlight w:val="none"/>
              </w:rPr>
              <w:t>△9、观察镜筒：人体工程学三目镜筒，可调瞳距55~75mm，50/50分光观察，可进行目镜与显示器的同步观察和操作；</w:t>
            </w:r>
          </w:p>
          <w:p w14:paraId="76A258F6">
            <w:pPr>
              <w:jc w:val="left"/>
              <w:rPr>
                <w:color w:val="auto"/>
                <w:szCs w:val="21"/>
                <w:highlight w:val="none"/>
              </w:rPr>
            </w:pPr>
            <w:r>
              <w:rPr>
                <w:rFonts w:hint="eastAsia"/>
                <w:color w:val="auto"/>
                <w:szCs w:val="21"/>
                <w:highlight w:val="none"/>
              </w:rPr>
              <w:t>△10、目镜：宽视场三目观察，10倍宽场视场数≥22，高眼点，带屈光度校正。双目观察镜筒为铰链式，眼点高低可调。调眼距时，应能保证目镜齐焦55mm-77mm；</w:t>
            </w:r>
          </w:p>
          <w:p w14:paraId="23DAB0CE">
            <w:pPr>
              <w:jc w:val="left"/>
              <w:rPr>
                <w:color w:val="auto"/>
                <w:szCs w:val="21"/>
                <w:highlight w:val="none"/>
              </w:rPr>
            </w:pPr>
            <w:r>
              <w:rPr>
                <w:rFonts w:hint="eastAsia"/>
                <w:color w:val="auto"/>
                <w:szCs w:val="21"/>
                <w:highlight w:val="none"/>
              </w:rPr>
              <w:t>#11、五孔编码物镜转盘，BF/DF M32，带倍率标示，带防滑橡胶。更换物镜后，软件自动识别倍数，并自动加载标尺；</w:t>
            </w:r>
          </w:p>
          <w:p w14:paraId="7751040F">
            <w:pPr>
              <w:jc w:val="left"/>
              <w:rPr>
                <w:color w:val="auto"/>
                <w:szCs w:val="21"/>
                <w:highlight w:val="none"/>
              </w:rPr>
            </w:pPr>
            <w:r>
              <w:rPr>
                <w:rFonts w:hint="eastAsia"/>
                <w:color w:val="auto"/>
                <w:szCs w:val="21"/>
                <w:highlight w:val="none"/>
              </w:rPr>
              <w:t>#12、物镜：平场消色差反差增强型金相专用物镜，直径M32，支持明场、高级暗场、偏光、微分干涉、荧光等所有观察法。5X/0.12, 10X/0.25，20X/0.50，50X/0.80，100X/0.90；</w:t>
            </w:r>
          </w:p>
          <w:p w14:paraId="76CA1038">
            <w:pPr>
              <w:jc w:val="left"/>
              <w:rPr>
                <w:color w:val="auto"/>
                <w:szCs w:val="21"/>
                <w:highlight w:val="none"/>
              </w:rPr>
            </w:pPr>
            <w:r>
              <w:rPr>
                <w:rFonts w:hint="eastAsia"/>
                <w:color w:val="auto"/>
                <w:szCs w:val="21"/>
                <w:highlight w:val="none"/>
              </w:rPr>
              <w:t>△13、内置于主机的研究级科勒照明系统，LED白光冷光源，环保低能耗；保证提供足够照明，达到统一和可恒定的最佳对比度和衬度最终得到高质量图像，减少人为误差。光源寿命72000小时以上；</w:t>
            </w:r>
          </w:p>
          <w:p w14:paraId="4B342CCA">
            <w:pPr>
              <w:jc w:val="left"/>
              <w:rPr>
                <w:color w:val="auto"/>
                <w:szCs w:val="21"/>
                <w:highlight w:val="none"/>
              </w:rPr>
            </w:pPr>
            <w:r>
              <w:rPr>
                <w:rFonts w:hint="eastAsia"/>
                <w:color w:val="auto"/>
                <w:szCs w:val="21"/>
                <w:highlight w:val="none"/>
              </w:rPr>
              <w:t>△14、色温恒定系统：不同观察方法和不同倍数观察时色温保持4500K不变；</w:t>
            </w:r>
          </w:p>
          <w:p w14:paraId="1FC2C335">
            <w:pPr>
              <w:jc w:val="left"/>
              <w:rPr>
                <w:color w:val="auto"/>
                <w:szCs w:val="21"/>
                <w:highlight w:val="none"/>
              </w:rPr>
            </w:pPr>
            <w:r>
              <w:rPr>
                <w:rFonts w:hint="eastAsia"/>
                <w:color w:val="auto"/>
                <w:szCs w:val="21"/>
                <w:highlight w:val="none"/>
              </w:rPr>
              <w:t>△15、颜色编码光圈辅助装置（CCDA），使得物镜与孔径光圈结合，分辨率、对比度以及景深的基本设置能够精确设定，达到最优化的分辨率和对比度；</w:t>
            </w:r>
          </w:p>
          <w:p w14:paraId="63FA5A09">
            <w:pPr>
              <w:jc w:val="left"/>
              <w:rPr>
                <w:color w:val="auto"/>
                <w:szCs w:val="21"/>
                <w:highlight w:val="none"/>
              </w:rPr>
            </w:pPr>
            <w:r>
              <w:rPr>
                <w:rFonts w:hint="eastAsia"/>
                <w:color w:val="auto"/>
                <w:szCs w:val="21"/>
                <w:highlight w:val="none"/>
              </w:rPr>
              <w:t>#16、载物台：XY手动调节大型桥式载物台，76mm x 50mm有效移动行程，承重大于4KG，表面耐磨防刮陶瓷涂层，内置可调节载物台高度定位器，有效保护样品和物镜；</w:t>
            </w:r>
          </w:p>
          <w:p w14:paraId="53BD6754">
            <w:pPr>
              <w:jc w:val="left"/>
              <w:rPr>
                <w:color w:val="auto"/>
                <w:szCs w:val="21"/>
                <w:highlight w:val="none"/>
              </w:rPr>
            </w:pPr>
            <w:r>
              <w:rPr>
                <w:rFonts w:hint="eastAsia"/>
                <w:color w:val="auto"/>
                <w:szCs w:val="21"/>
                <w:highlight w:val="none"/>
              </w:rPr>
              <w:t>△17、智能光照强度管理：更换物镜或观察方式，显微镜能自动适配光源亮度，具有记忆功能，减少重复性工作。必要时，可一键恢复所有光照条件；</w:t>
            </w:r>
          </w:p>
          <w:p w14:paraId="78E1AE5F">
            <w:pPr>
              <w:jc w:val="left"/>
              <w:rPr>
                <w:color w:val="auto"/>
                <w:szCs w:val="21"/>
                <w:highlight w:val="none"/>
              </w:rPr>
            </w:pPr>
            <w:r>
              <w:rPr>
                <w:rFonts w:hint="eastAsia"/>
                <w:color w:val="auto"/>
                <w:szCs w:val="21"/>
                <w:highlight w:val="none"/>
              </w:rPr>
              <w:t>#18、显微镜镜体机身带拍照按钮，可一键拍照到指定路径；</w:t>
            </w:r>
          </w:p>
          <w:p w14:paraId="08D53DD5">
            <w:pPr>
              <w:jc w:val="left"/>
              <w:rPr>
                <w:color w:val="auto"/>
                <w:szCs w:val="21"/>
                <w:highlight w:val="none"/>
              </w:rPr>
            </w:pPr>
            <w:r>
              <w:rPr>
                <w:rFonts w:hint="eastAsia"/>
                <w:color w:val="auto"/>
                <w:szCs w:val="21"/>
                <w:highlight w:val="none"/>
              </w:rPr>
              <w:t>★19、显微数码采集系统：显微镜原厂工业级彩色摄像头，非插值真实像素≥630万，传感器：3072像素 x 2048像素，USB3.1高速传输，像素大小：2.4微米 x 2.4微米，4K模式下帧率15fps，带高清接口；</w:t>
            </w:r>
          </w:p>
          <w:p w14:paraId="403D3731">
            <w:pPr>
              <w:jc w:val="left"/>
              <w:rPr>
                <w:color w:val="auto"/>
                <w:szCs w:val="21"/>
                <w:highlight w:val="none"/>
              </w:rPr>
            </w:pPr>
            <w:r>
              <w:rPr>
                <w:rFonts w:hint="eastAsia"/>
                <w:color w:val="auto"/>
                <w:szCs w:val="21"/>
                <w:highlight w:val="none"/>
              </w:rPr>
              <w:t>#20、显微镜原厂软件，至少支持八国语言，含有中文界面</w:t>
            </w:r>
          </w:p>
          <w:p w14:paraId="61D4A19E">
            <w:pPr>
              <w:jc w:val="left"/>
              <w:rPr>
                <w:color w:val="auto"/>
                <w:szCs w:val="21"/>
                <w:highlight w:val="none"/>
              </w:rPr>
            </w:pPr>
            <w:r>
              <w:rPr>
                <w:rFonts w:hint="eastAsia"/>
                <w:color w:val="auto"/>
                <w:szCs w:val="21"/>
                <w:highlight w:val="none"/>
              </w:rPr>
              <w:t>20.1、具有图像预览、照片拍摄、视频录制、几何尺寸测量等功能；</w:t>
            </w:r>
          </w:p>
          <w:p w14:paraId="5B7AB6B3">
            <w:pPr>
              <w:jc w:val="left"/>
              <w:rPr>
                <w:color w:val="auto"/>
                <w:szCs w:val="21"/>
                <w:highlight w:val="none"/>
              </w:rPr>
            </w:pPr>
            <w:r>
              <w:rPr>
                <w:rFonts w:hint="eastAsia"/>
                <w:color w:val="auto"/>
                <w:szCs w:val="21"/>
                <w:highlight w:val="none"/>
              </w:rPr>
              <w:t>20.2、软件能识别显微镜物镜编码，能自动识别倍数，自动加载标尺；</w:t>
            </w:r>
          </w:p>
          <w:p w14:paraId="54AFF1CD">
            <w:pPr>
              <w:jc w:val="left"/>
              <w:rPr>
                <w:color w:val="auto"/>
                <w:szCs w:val="21"/>
                <w:highlight w:val="none"/>
              </w:rPr>
            </w:pPr>
            <w:r>
              <w:rPr>
                <w:rFonts w:hint="eastAsia"/>
                <w:color w:val="auto"/>
                <w:szCs w:val="21"/>
                <w:highlight w:val="none"/>
              </w:rPr>
              <w:t>20.3、软件具有实时图像拼接功能，移动载物台，软件自动拼接成一副高分辨率大视野的图像；</w:t>
            </w:r>
          </w:p>
          <w:p w14:paraId="11AE0225">
            <w:pPr>
              <w:jc w:val="left"/>
              <w:rPr>
                <w:color w:val="auto"/>
                <w:szCs w:val="21"/>
                <w:highlight w:val="none"/>
              </w:rPr>
            </w:pPr>
            <w:r>
              <w:rPr>
                <w:rFonts w:hint="eastAsia"/>
                <w:color w:val="auto"/>
                <w:szCs w:val="21"/>
                <w:highlight w:val="none"/>
              </w:rPr>
              <w:t>20.4、软件具有实时景深扩展功能，调节聚焦旋钮，对于有高度差的样品，软件能抓取不同焦面的图像，自动合成出一副全域清晰的图像；</w:t>
            </w:r>
          </w:p>
          <w:p w14:paraId="6E05B9A8">
            <w:pPr>
              <w:jc w:val="left"/>
              <w:rPr>
                <w:rFonts w:hint="eastAsia"/>
                <w:color w:val="auto"/>
                <w:szCs w:val="21"/>
                <w:highlight w:val="none"/>
              </w:rPr>
            </w:pPr>
            <w:r>
              <w:rPr>
                <w:rFonts w:hint="eastAsia"/>
                <w:color w:val="auto"/>
                <w:szCs w:val="21"/>
                <w:highlight w:val="none"/>
              </w:rPr>
              <w:t>20.5、具有数据导出功能，可一键导出测量数据到Excel报告。</w:t>
            </w:r>
          </w:p>
          <w:p w14:paraId="4D1F8E68">
            <w:pPr>
              <w:jc w:val="left"/>
              <w:rPr>
                <w:color w:val="auto"/>
                <w:szCs w:val="21"/>
                <w:highlight w:val="none"/>
              </w:rPr>
            </w:pPr>
          </w:p>
          <w:p w14:paraId="1B0A8A5E">
            <w:pPr>
              <w:jc w:val="left"/>
              <w:rPr>
                <w:b/>
                <w:bCs/>
                <w:color w:val="auto"/>
                <w:sz w:val="24"/>
                <w:highlight w:val="none"/>
              </w:rPr>
            </w:pPr>
            <w:r>
              <w:rPr>
                <w:rFonts w:hint="eastAsia"/>
                <w:b/>
                <w:bCs/>
                <w:color w:val="auto"/>
                <w:sz w:val="24"/>
                <w:highlight w:val="none"/>
              </w:rPr>
              <w:t>三、光学表征模块</w:t>
            </w:r>
          </w:p>
          <w:p w14:paraId="5C3F24DF">
            <w:pPr>
              <w:jc w:val="left"/>
              <w:rPr>
                <w:color w:val="auto"/>
                <w:szCs w:val="21"/>
                <w:highlight w:val="none"/>
              </w:rPr>
            </w:pPr>
            <w:r>
              <w:rPr>
                <w:rFonts w:hint="eastAsia"/>
                <w:color w:val="auto"/>
                <w:szCs w:val="21"/>
                <w:highlight w:val="none"/>
              </w:rPr>
              <w:t>★1、光源：设备搭载紫外/可见光激光光源，输出功率不低于25mW，可选355nm、405nm、488nm波段激光器，激光输出稳定，满足微米/纳米级缺陷散射检测需求；</w:t>
            </w:r>
          </w:p>
          <w:p w14:paraId="43163254">
            <w:pPr>
              <w:jc w:val="left"/>
              <w:rPr>
                <w:color w:val="auto"/>
                <w:szCs w:val="21"/>
                <w:highlight w:val="none"/>
              </w:rPr>
            </w:pPr>
            <w:r>
              <w:rPr>
                <w:rFonts w:hint="eastAsia"/>
                <w:color w:val="auto"/>
                <w:szCs w:val="21"/>
                <w:highlight w:val="none"/>
              </w:rPr>
              <w:t>△2、适配晶圆尺⼨：可选2 ~8 inch标准晶圆；</w:t>
            </w:r>
          </w:p>
          <w:p w14:paraId="003B30E1">
            <w:pPr>
              <w:jc w:val="left"/>
              <w:rPr>
                <w:color w:val="auto"/>
                <w:szCs w:val="21"/>
                <w:highlight w:val="none"/>
              </w:rPr>
            </w:pPr>
            <w:r>
              <w:rPr>
                <w:rFonts w:hint="eastAsia"/>
                <w:color w:val="auto"/>
                <w:szCs w:val="21"/>
                <w:highlight w:val="none"/>
              </w:rPr>
              <w:t>△3、晶圆厚度适配范围：350μm~1000μm；</w:t>
            </w:r>
          </w:p>
          <w:p w14:paraId="361BC8F8">
            <w:pPr>
              <w:jc w:val="left"/>
              <w:rPr>
                <w:color w:val="auto"/>
                <w:szCs w:val="21"/>
                <w:highlight w:val="none"/>
              </w:rPr>
            </w:pPr>
            <w:r>
              <w:rPr>
                <w:rFonts w:hint="eastAsia"/>
                <w:color w:val="auto"/>
                <w:szCs w:val="21"/>
                <w:highlight w:val="none"/>
              </w:rPr>
              <w:t>#4、最小检测颗粒（PSL/硅片）：≤100 nm （标准颗粒捕获率 ≥ 80%）；</w:t>
            </w:r>
          </w:p>
          <w:p w14:paraId="3C548D26">
            <w:pPr>
              <w:jc w:val="left"/>
              <w:rPr>
                <w:color w:val="auto"/>
                <w:szCs w:val="21"/>
                <w:highlight w:val="none"/>
              </w:rPr>
            </w:pPr>
            <w:r>
              <w:rPr>
                <w:rFonts w:hint="eastAsia"/>
                <w:color w:val="auto"/>
                <w:szCs w:val="21"/>
                <w:highlight w:val="none"/>
              </w:rPr>
              <w:t>★5、衬底材料：适用于任何透明或不透明的抛光表面；</w:t>
            </w:r>
          </w:p>
          <w:p w14:paraId="66ACDD74">
            <w:pPr>
              <w:jc w:val="left"/>
              <w:rPr>
                <w:color w:val="auto"/>
                <w:szCs w:val="21"/>
                <w:highlight w:val="none"/>
              </w:rPr>
            </w:pPr>
            <w:r>
              <w:rPr>
                <w:rFonts w:hint="eastAsia"/>
                <w:color w:val="auto"/>
                <w:szCs w:val="21"/>
                <w:highlight w:val="none"/>
              </w:rPr>
              <w:t>△6、划痕检测阀值：⻓100μm×宽0.1μm，深≥50Å；</w:t>
            </w:r>
          </w:p>
          <w:p w14:paraId="35C0CEF7">
            <w:pPr>
              <w:jc w:val="left"/>
              <w:rPr>
                <w:color w:val="auto"/>
                <w:szCs w:val="21"/>
                <w:highlight w:val="none"/>
              </w:rPr>
            </w:pPr>
            <w:r>
              <w:rPr>
                <w:rFonts w:hint="eastAsia"/>
                <w:color w:val="auto"/>
                <w:szCs w:val="21"/>
                <w:highlight w:val="none"/>
              </w:rPr>
              <w:t>△7、凹坑检测阀值：直径≤20μm，深≥50Å；</w:t>
            </w:r>
          </w:p>
          <w:p w14:paraId="54CD47A4">
            <w:pPr>
              <w:jc w:val="left"/>
              <w:rPr>
                <w:color w:val="auto"/>
                <w:szCs w:val="21"/>
                <w:highlight w:val="none"/>
              </w:rPr>
            </w:pPr>
            <w:r>
              <w:rPr>
                <w:rFonts w:hint="eastAsia"/>
                <w:color w:val="auto"/>
                <w:szCs w:val="21"/>
                <w:highlight w:val="none"/>
              </w:rPr>
              <w:t>△8、污渍检测阀值：直径≤20μm，厚≥10Å；</w:t>
            </w:r>
          </w:p>
          <w:p w14:paraId="63B47C83">
            <w:pPr>
              <w:jc w:val="left"/>
              <w:rPr>
                <w:color w:val="auto"/>
                <w:szCs w:val="21"/>
                <w:highlight w:val="none"/>
              </w:rPr>
            </w:pPr>
            <w:r>
              <w:rPr>
                <w:rFonts w:hint="eastAsia"/>
                <w:color w:val="auto"/>
                <w:szCs w:val="21"/>
                <w:highlight w:val="none"/>
              </w:rPr>
              <w:t>△9、超薄膜厚计量：适配5Å~1000Å 氧化层薄膜均匀性检测CV≤5%；</w:t>
            </w:r>
          </w:p>
          <w:p w14:paraId="283EA260">
            <w:pPr>
              <w:jc w:val="left"/>
              <w:rPr>
                <w:color w:val="auto"/>
                <w:szCs w:val="21"/>
                <w:highlight w:val="none"/>
              </w:rPr>
            </w:pPr>
            <w:r>
              <w:rPr>
                <w:rFonts w:hint="eastAsia"/>
                <w:color w:val="auto"/>
                <w:szCs w:val="21"/>
                <w:highlight w:val="none"/>
              </w:rPr>
              <w:t>△10、膜厚重复性检测CV≤5%；</w:t>
            </w:r>
          </w:p>
          <w:p w14:paraId="5E44BBEB">
            <w:pPr>
              <w:jc w:val="left"/>
              <w:rPr>
                <w:color w:val="auto"/>
                <w:szCs w:val="21"/>
                <w:highlight w:val="none"/>
              </w:rPr>
            </w:pPr>
            <w:r>
              <w:rPr>
                <w:rFonts w:hint="eastAsia"/>
                <w:color w:val="auto"/>
                <w:szCs w:val="21"/>
                <w:highlight w:val="none"/>
              </w:rPr>
              <w:t>△11、粗糙度重复性检测CV≤3%；</w:t>
            </w:r>
          </w:p>
          <w:p w14:paraId="5D66C401">
            <w:pPr>
              <w:jc w:val="left"/>
              <w:rPr>
                <w:color w:val="auto"/>
                <w:szCs w:val="21"/>
                <w:highlight w:val="none"/>
              </w:rPr>
            </w:pPr>
            <w:r>
              <w:rPr>
                <w:rFonts w:hint="eastAsia"/>
                <w:color w:val="auto"/>
                <w:szCs w:val="21"/>
                <w:highlight w:val="none"/>
              </w:rPr>
              <w:t>★12、设备内腔洁净等级：≥Class 10；</w:t>
            </w:r>
          </w:p>
          <w:p w14:paraId="391925F4">
            <w:pPr>
              <w:jc w:val="left"/>
              <w:rPr>
                <w:color w:val="auto"/>
                <w:szCs w:val="21"/>
                <w:highlight w:val="none"/>
              </w:rPr>
            </w:pPr>
            <w:r>
              <w:rPr>
                <w:rFonts w:hint="eastAsia"/>
                <w:color w:val="auto"/>
                <w:szCs w:val="21"/>
                <w:highlight w:val="none"/>
              </w:rPr>
              <w:t>△13、设备尺寸：长≤140cm *宽≤190cm*高≤200cm；</w:t>
            </w:r>
          </w:p>
          <w:p w14:paraId="50D8F52B">
            <w:pPr>
              <w:jc w:val="left"/>
              <w:rPr>
                <w:color w:val="auto"/>
                <w:szCs w:val="21"/>
                <w:highlight w:val="none"/>
              </w:rPr>
            </w:pPr>
            <w:r>
              <w:rPr>
                <w:rFonts w:hint="eastAsia"/>
                <w:color w:val="auto"/>
                <w:szCs w:val="21"/>
                <w:highlight w:val="none"/>
              </w:rPr>
              <w:t>△14、操作方式：手动装载/自动装载。</w:t>
            </w:r>
          </w:p>
          <w:p w14:paraId="79E7CC50">
            <w:pPr>
              <w:jc w:val="left"/>
              <w:rPr>
                <w:color w:val="auto"/>
                <w:szCs w:val="21"/>
                <w:highlight w:val="none"/>
              </w:rPr>
            </w:pPr>
          </w:p>
        </w:tc>
      </w:tr>
      <w:tr w14:paraId="70F06151">
        <w:trPr>
          <w:trHeight w:val="587" w:hRule="atLeast"/>
          <w:jc w:val="center"/>
        </w:trPr>
        <w:tc>
          <w:tcPr>
            <w:tcW w:w="672" w:type="dxa"/>
            <w:noWrap w:val="0"/>
            <w:vAlign w:val="center"/>
          </w:tcPr>
          <w:p w14:paraId="06533B0A">
            <w:pPr>
              <w:jc w:val="center"/>
              <w:rPr>
                <w:color w:val="auto"/>
                <w:szCs w:val="21"/>
                <w:highlight w:val="none"/>
              </w:rPr>
            </w:pPr>
            <w:r>
              <w:rPr>
                <w:rFonts w:hint="eastAsia"/>
                <w:color w:val="auto"/>
                <w:szCs w:val="21"/>
                <w:highlight w:val="none"/>
              </w:rPr>
              <w:t>3</w:t>
            </w:r>
          </w:p>
        </w:tc>
        <w:tc>
          <w:tcPr>
            <w:tcW w:w="1686" w:type="dxa"/>
            <w:noWrap w:val="0"/>
            <w:vAlign w:val="center"/>
          </w:tcPr>
          <w:p w14:paraId="52456DC7">
            <w:pPr>
              <w:jc w:val="left"/>
              <w:rPr>
                <w:color w:val="auto"/>
                <w:szCs w:val="21"/>
                <w:highlight w:val="none"/>
              </w:rPr>
            </w:pPr>
            <w:r>
              <w:rPr>
                <w:rFonts w:hint="eastAsia"/>
                <w:color w:val="auto"/>
                <w:szCs w:val="21"/>
                <w:highlight w:val="none"/>
              </w:rPr>
              <w:t>深紫外辅助原子层缺陷控制设备</w:t>
            </w:r>
          </w:p>
        </w:tc>
        <w:tc>
          <w:tcPr>
            <w:tcW w:w="6851" w:type="dxa"/>
            <w:noWrap w:val="0"/>
            <w:vAlign w:val="center"/>
          </w:tcPr>
          <w:p w14:paraId="678AA9C6">
            <w:pPr>
              <w:jc w:val="left"/>
              <w:rPr>
                <w:b/>
                <w:bCs/>
                <w:color w:val="auto"/>
                <w:sz w:val="24"/>
                <w:highlight w:val="none"/>
              </w:rPr>
            </w:pPr>
            <w:r>
              <w:rPr>
                <w:rFonts w:hint="eastAsia"/>
                <w:b/>
                <w:bCs/>
                <w:color w:val="auto"/>
                <w:sz w:val="24"/>
                <w:highlight w:val="none"/>
              </w:rPr>
              <w:t>一、缺陷控制模块</w:t>
            </w:r>
          </w:p>
          <w:p w14:paraId="49A7C699">
            <w:pPr>
              <w:jc w:val="left"/>
              <w:rPr>
                <w:color w:val="auto"/>
                <w:szCs w:val="21"/>
                <w:highlight w:val="none"/>
              </w:rPr>
            </w:pPr>
            <w:r>
              <w:rPr>
                <w:rFonts w:hint="eastAsia"/>
                <w:color w:val="auto"/>
                <w:szCs w:val="21"/>
                <w:highlight w:val="none"/>
              </w:rPr>
              <w:t>△1、抛光头模块：气膜6分区独立加压或陶瓷吸附气囊柔性加压；</w:t>
            </w:r>
          </w:p>
          <w:p w14:paraId="4D2C4132">
            <w:pPr>
              <w:jc w:val="left"/>
              <w:rPr>
                <w:color w:val="auto"/>
                <w:szCs w:val="21"/>
                <w:highlight w:val="none"/>
              </w:rPr>
            </w:pPr>
            <w:r>
              <w:rPr>
                <w:rFonts w:hint="eastAsia"/>
                <w:color w:val="auto"/>
                <w:szCs w:val="21"/>
                <w:highlight w:val="none"/>
              </w:rPr>
              <w:t>#2、光模块：高能量深紫外 LED 灯珠，优先支持UVC 发射波长 250 nm ± 5 nm，支持抛光区域原位照射；</w:t>
            </w:r>
          </w:p>
          <w:p w14:paraId="22DB9602">
            <w:pPr>
              <w:jc w:val="left"/>
              <w:rPr>
                <w:color w:val="auto"/>
                <w:szCs w:val="21"/>
                <w:highlight w:val="none"/>
              </w:rPr>
            </w:pPr>
            <w:r>
              <w:rPr>
                <w:rFonts w:hint="eastAsia"/>
                <w:color w:val="auto"/>
                <w:szCs w:val="21"/>
                <w:highlight w:val="none"/>
              </w:rPr>
              <w:t>△3、在线监测与反馈调整模块：设备可配置在线监测模块，支持电机电流、抛光头/抛光盘/修整头扭矩实时采集，具备工艺参数反馈自动调节功能；</w:t>
            </w:r>
          </w:p>
          <w:p w14:paraId="02B8E577">
            <w:pPr>
              <w:jc w:val="left"/>
              <w:rPr>
                <w:color w:val="auto"/>
                <w:szCs w:val="21"/>
                <w:highlight w:val="none"/>
              </w:rPr>
            </w:pPr>
            <w:r>
              <w:rPr>
                <w:rFonts w:hint="eastAsia"/>
                <w:color w:val="auto"/>
                <w:szCs w:val="21"/>
                <w:highlight w:val="none"/>
              </w:rPr>
              <w:t>★4、样品加工能力：适用于 2~6 英寸样品，最大样品尺寸 6 inch / 150 mm，样品材料不限；</w:t>
            </w:r>
          </w:p>
          <w:p w14:paraId="10CB47F6">
            <w:pPr>
              <w:jc w:val="left"/>
              <w:rPr>
                <w:color w:val="auto"/>
                <w:szCs w:val="21"/>
                <w:highlight w:val="none"/>
              </w:rPr>
            </w:pPr>
            <w:r>
              <w:rPr>
                <w:rFonts w:hint="eastAsia"/>
                <w:color w:val="auto"/>
                <w:szCs w:val="21"/>
                <w:highlight w:val="none"/>
              </w:rPr>
              <w:t>△5、工艺实现方式：触屏程序控制，可进行工艺参数设定、保存与调用；</w:t>
            </w:r>
          </w:p>
          <w:p w14:paraId="5574D43A">
            <w:pPr>
              <w:jc w:val="left"/>
              <w:rPr>
                <w:color w:val="auto"/>
                <w:szCs w:val="21"/>
                <w:highlight w:val="none"/>
              </w:rPr>
            </w:pPr>
            <w:r>
              <w:rPr>
                <w:rFonts w:hint="eastAsia"/>
                <w:color w:val="auto"/>
                <w:szCs w:val="21"/>
                <w:highlight w:val="none"/>
              </w:rPr>
              <w:t>#6、抛光头：标配4英寸抛光头，配置2英寸抛光头；</w:t>
            </w:r>
          </w:p>
          <w:p w14:paraId="2C4F3C9E">
            <w:pPr>
              <w:jc w:val="left"/>
              <w:rPr>
                <w:color w:val="auto"/>
                <w:szCs w:val="21"/>
                <w:highlight w:val="none"/>
              </w:rPr>
            </w:pPr>
            <w:r>
              <w:rPr>
                <w:rFonts w:hint="eastAsia"/>
                <w:color w:val="auto"/>
                <w:szCs w:val="21"/>
                <w:highlight w:val="none"/>
              </w:rPr>
              <w:t>#7、加载压力控制：抛光下压力调节区间要盖0~14.5psi及以上，支持精细压力调节，避免抛光不均匀；</w:t>
            </w:r>
          </w:p>
          <w:p w14:paraId="6D1C39CD">
            <w:pPr>
              <w:jc w:val="left"/>
              <w:rPr>
                <w:color w:val="auto"/>
                <w:szCs w:val="21"/>
                <w:highlight w:val="none"/>
              </w:rPr>
            </w:pPr>
            <w:r>
              <w:rPr>
                <w:rFonts w:hint="eastAsia"/>
                <w:color w:val="auto"/>
                <w:szCs w:val="21"/>
                <w:highlight w:val="none"/>
              </w:rPr>
              <w:t>#8、抛光头转速：0~150 rpm，可覆盖 0~120 rpm 连续可调工艺范围，并可根据需求开放更高转速；</w:t>
            </w:r>
          </w:p>
          <w:p w14:paraId="22914773">
            <w:pPr>
              <w:jc w:val="left"/>
              <w:rPr>
                <w:color w:val="auto"/>
                <w:szCs w:val="21"/>
                <w:highlight w:val="none"/>
              </w:rPr>
            </w:pPr>
            <w:r>
              <w:rPr>
                <w:rFonts w:hint="eastAsia"/>
                <w:color w:val="auto"/>
                <w:szCs w:val="21"/>
                <w:highlight w:val="none"/>
              </w:rPr>
              <w:t>★9、抛光盘：直径 400 mm；</w:t>
            </w:r>
          </w:p>
          <w:p w14:paraId="2E122C4A">
            <w:pPr>
              <w:jc w:val="left"/>
              <w:rPr>
                <w:color w:val="auto"/>
                <w:szCs w:val="21"/>
                <w:highlight w:val="none"/>
              </w:rPr>
            </w:pPr>
            <w:r>
              <w:rPr>
                <w:rFonts w:hint="eastAsia"/>
                <w:color w:val="auto"/>
                <w:szCs w:val="21"/>
                <w:highlight w:val="none"/>
              </w:rPr>
              <w:t>#10、抛光盘转速：0~150 rpm，可覆盖 0~120 rpm 连续可调工艺范围，并可根据需求开放更高转速；</w:t>
            </w:r>
          </w:p>
          <w:p w14:paraId="12E50367">
            <w:pPr>
              <w:jc w:val="left"/>
              <w:rPr>
                <w:rFonts w:hint="eastAsia"/>
                <w:color w:val="auto"/>
                <w:szCs w:val="21"/>
                <w:highlight w:val="none"/>
              </w:rPr>
            </w:pPr>
            <w:r>
              <w:rPr>
                <w:rFonts w:hint="eastAsia"/>
                <w:color w:val="auto"/>
                <w:szCs w:val="21"/>
                <w:highlight w:val="none"/>
              </w:rPr>
              <w:t>★11、修整盘：金刚石或塑料刷；</w:t>
            </w:r>
          </w:p>
          <w:p w14:paraId="3F50FFB4">
            <w:pPr>
              <w:jc w:val="left"/>
              <w:rPr>
                <w:color w:val="auto"/>
                <w:szCs w:val="21"/>
                <w:highlight w:val="none"/>
              </w:rPr>
            </w:pPr>
            <w:r>
              <w:rPr>
                <w:rFonts w:hint="eastAsia"/>
                <w:color w:val="auto"/>
                <w:szCs w:val="21"/>
                <w:highlight w:val="none"/>
              </w:rPr>
              <w:t>#12、修整盘转速：0~150 rpm，可根据需求升级更高转速；</w:t>
            </w:r>
          </w:p>
          <w:p w14:paraId="2FA233BA">
            <w:pPr>
              <w:jc w:val="left"/>
              <w:rPr>
                <w:color w:val="auto"/>
                <w:szCs w:val="21"/>
                <w:highlight w:val="none"/>
              </w:rPr>
            </w:pPr>
            <w:r>
              <w:rPr>
                <w:rFonts w:hint="eastAsia"/>
                <w:color w:val="auto"/>
                <w:szCs w:val="21"/>
                <w:highlight w:val="none"/>
              </w:rPr>
              <w:t>△13、抛光头/修整器往复：行程大于 60 mm，速度0~150rpm可控；</w:t>
            </w:r>
          </w:p>
          <w:p w14:paraId="58294747">
            <w:pPr>
              <w:jc w:val="left"/>
              <w:rPr>
                <w:color w:val="auto"/>
                <w:szCs w:val="21"/>
                <w:highlight w:val="none"/>
              </w:rPr>
            </w:pPr>
            <w:r>
              <w:rPr>
                <w:rFonts w:hint="eastAsia"/>
                <w:color w:val="auto"/>
                <w:szCs w:val="21"/>
                <w:highlight w:val="none"/>
              </w:rPr>
              <w:t>△14、抛光液供给模块：2 路蠕动泵供液，流速 0~200 mL/min；</w:t>
            </w:r>
          </w:p>
          <w:p w14:paraId="5B45ADF9">
            <w:pPr>
              <w:jc w:val="left"/>
              <w:rPr>
                <w:color w:val="auto"/>
                <w:szCs w:val="21"/>
                <w:highlight w:val="none"/>
              </w:rPr>
            </w:pPr>
            <w:r>
              <w:rPr>
                <w:rFonts w:hint="eastAsia"/>
                <w:color w:val="auto"/>
                <w:szCs w:val="21"/>
                <w:highlight w:val="none"/>
              </w:rPr>
              <w:t>△15、水枪：1 路；</w:t>
            </w:r>
          </w:p>
          <w:p w14:paraId="0A44F44B">
            <w:pPr>
              <w:jc w:val="left"/>
              <w:rPr>
                <w:color w:val="auto"/>
                <w:szCs w:val="21"/>
                <w:highlight w:val="none"/>
              </w:rPr>
            </w:pPr>
            <w:r>
              <w:rPr>
                <w:rFonts w:hint="eastAsia"/>
                <w:color w:val="auto"/>
                <w:szCs w:val="21"/>
                <w:highlight w:val="none"/>
              </w:rPr>
              <w:t>△16、气枪：1 路；</w:t>
            </w:r>
          </w:p>
          <w:p w14:paraId="68BEA643">
            <w:pPr>
              <w:jc w:val="left"/>
              <w:rPr>
                <w:color w:val="auto"/>
                <w:szCs w:val="21"/>
                <w:highlight w:val="none"/>
              </w:rPr>
            </w:pPr>
            <w:r>
              <w:rPr>
                <w:rFonts w:hint="eastAsia"/>
                <w:color w:val="auto"/>
                <w:szCs w:val="21"/>
                <w:highlight w:val="none"/>
              </w:rPr>
              <w:t>★17、抛光效果：抛光后面形平整，表面粗糙度 Ra &lt; 1 nm；</w:t>
            </w:r>
          </w:p>
          <w:p w14:paraId="517119B5">
            <w:pPr>
              <w:jc w:val="left"/>
              <w:rPr>
                <w:color w:val="auto"/>
                <w:szCs w:val="21"/>
                <w:highlight w:val="none"/>
              </w:rPr>
            </w:pPr>
            <w:r>
              <w:rPr>
                <w:rFonts w:hint="eastAsia"/>
                <w:color w:val="auto"/>
                <w:szCs w:val="21"/>
                <w:highlight w:val="none"/>
              </w:rPr>
              <w:t>#18、表面缺陷控制：能够实现 90%以上表面划痕、浅层损伤等缺陷修复。</w:t>
            </w:r>
          </w:p>
          <w:p w14:paraId="2B12337C">
            <w:pPr>
              <w:jc w:val="left"/>
              <w:rPr>
                <w:rFonts w:hint="eastAsia"/>
                <w:b/>
                <w:bCs/>
                <w:color w:val="auto"/>
                <w:sz w:val="24"/>
                <w:highlight w:val="none"/>
              </w:rPr>
            </w:pPr>
          </w:p>
          <w:p w14:paraId="1786BB05">
            <w:pPr>
              <w:jc w:val="left"/>
              <w:rPr>
                <w:b/>
                <w:bCs/>
                <w:color w:val="auto"/>
                <w:sz w:val="24"/>
                <w:highlight w:val="none"/>
              </w:rPr>
            </w:pPr>
            <w:r>
              <w:rPr>
                <w:rFonts w:hint="eastAsia"/>
                <w:b/>
                <w:bCs/>
                <w:color w:val="auto"/>
                <w:sz w:val="24"/>
                <w:highlight w:val="none"/>
              </w:rPr>
              <w:t>二、光测量模块</w:t>
            </w:r>
          </w:p>
          <w:p w14:paraId="6E4B887D">
            <w:pPr>
              <w:jc w:val="left"/>
              <w:rPr>
                <w:b/>
                <w:bCs/>
                <w:color w:val="auto"/>
                <w:szCs w:val="21"/>
                <w:highlight w:val="none"/>
              </w:rPr>
            </w:pPr>
            <w:r>
              <w:rPr>
                <w:rFonts w:hint="eastAsia"/>
                <w:b/>
                <w:bCs/>
                <w:color w:val="auto"/>
                <w:szCs w:val="21"/>
                <w:highlight w:val="none"/>
              </w:rPr>
              <w:t>Zeta电位测量：</w:t>
            </w:r>
          </w:p>
          <w:p w14:paraId="548E7B59">
            <w:pPr>
              <w:jc w:val="left"/>
              <w:rPr>
                <w:color w:val="auto"/>
                <w:szCs w:val="21"/>
                <w:highlight w:val="none"/>
              </w:rPr>
            </w:pPr>
            <w:r>
              <w:rPr>
                <w:rFonts w:hint="eastAsia"/>
                <w:color w:val="auto"/>
                <w:szCs w:val="21"/>
                <w:highlight w:val="none"/>
              </w:rPr>
              <w:t>△1、测量原理：电泳光散射；</w:t>
            </w:r>
          </w:p>
          <w:p w14:paraId="73C67235">
            <w:pPr>
              <w:jc w:val="left"/>
              <w:rPr>
                <w:color w:val="auto"/>
                <w:szCs w:val="21"/>
                <w:highlight w:val="none"/>
              </w:rPr>
            </w:pPr>
            <w:r>
              <w:rPr>
                <w:rFonts w:hint="eastAsia"/>
                <w:color w:val="auto"/>
                <w:szCs w:val="21"/>
                <w:highlight w:val="none"/>
              </w:rPr>
              <w:t>★2、技术：余弦拟合相位分析光散射CF-PALS；</w:t>
            </w:r>
          </w:p>
          <w:p w14:paraId="60D2592B">
            <w:pPr>
              <w:jc w:val="left"/>
              <w:rPr>
                <w:color w:val="auto"/>
                <w:szCs w:val="21"/>
                <w:highlight w:val="none"/>
              </w:rPr>
            </w:pPr>
            <w:r>
              <w:rPr>
                <w:rFonts w:hint="eastAsia"/>
                <w:color w:val="auto"/>
                <w:szCs w:val="21"/>
                <w:highlight w:val="none"/>
              </w:rPr>
              <w:t>△3、Zeta电位范围：无实际限制；</w:t>
            </w:r>
          </w:p>
          <w:p w14:paraId="41448476">
            <w:pPr>
              <w:jc w:val="left"/>
              <w:rPr>
                <w:color w:val="auto"/>
                <w:szCs w:val="21"/>
                <w:highlight w:val="none"/>
              </w:rPr>
            </w:pPr>
            <w:r>
              <w:rPr>
                <w:rFonts w:hint="eastAsia"/>
                <w:color w:val="auto"/>
                <w:szCs w:val="21"/>
                <w:highlight w:val="none"/>
              </w:rPr>
              <w:t>★4、Zeta电位样品粒径范围：1nm-120μm；</w:t>
            </w:r>
          </w:p>
          <w:p w14:paraId="79A5E5CE">
            <w:pPr>
              <w:jc w:val="left"/>
              <w:rPr>
                <w:color w:val="auto"/>
                <w:szCs w:val="21"/>
                <w:highlight w:val="none"/>
              </w:rPr>
            </w:pPr>
            <w:r>
              <w:rPr>
                <w:rFonts w:hint="eastAsia"/>
                <w:color w:val="auto"/>
                <w:szCs w:val="21"/>
                <w:highlight w:val="none"/>
              </w:rPr>
              <w:t>△5、电泳迁移率范围：最小0，最大无实际限制；</w:t>
            </w:r>
          </w:p>
          <w:p w14:paraId="21BF90F4">
            <w:pPr>
              <w:jc w:val="left"/>
              <w:rPr>
                <w:color w:val="auto"/>
                <w:szCs w:val="21"/>
                <w:highlight w:val="none"/>
              </w:rPr>
            </w:pPr>
            <w:r>
              <w:rPr>
                <w:rFonts w:hint="eastAsia"/>
                <w:color w:val="auto"/>
                <w:szCs w:val="21"/>
                <w:highlight w:val="none"/>
              </w:rPr>
              <w:t>★6、电导率范围：最大270mS/cm；</w:t>
            </w:r>
          </w:p>
          <w:p w14:paraId="4B43DA96">
            <w:pPr>
              <w:jc w:val="left"/>
              <w:rPr>
                <w:color w:val="auto"/>
                <w:szCs w:val="21"/>
                <w:highlight w:val="none"/>
              </w:rPr>
            </w:pPr>
            <w:r>
              <w:rPr>
                <w:rFonts w:hint="eastAsia"/>
                <w:color w:val="auto"/>
                <w:szCs w:val="21"/>
                <w:highlight w:val="none"/>
              </w:rPr>
              <w:t>△7、样品浓度范围：最高40%（w/v）；</w:t>
            </w:r>
          </w:p>
          <w:p w14:paraId="44478897">
            <w:pPr>
              <w:jc w:val="left"/>
              <w:rPr>
                <w:color w:val="auto"/>
                <w:szCs w:val="21"/>
                <w:highlight w:val="none"/>
              </w:rPr>
            </w:pPr>
            <w:r>
              <w:rPr>
                <w:rFonts w:hint="eastAsia"/>
                <w:color w:val="auto"/>
                <w:szCs w:val="21"/>
                <w:highlight w:val="none"/>
              </w:rPr>
              <w:t>△8、样品量：最小150μl。</w:t>
            </w:r>
          </w:p>
          <w:p w14:paraId="17FB52C4">
            <w:pPr>
              <w:jc w:val="left"/>
              <w:rPr>
                <w:b/>
                <w:bCs/>
                <w:color w:val="auto"/>
                <w:szCs w:val="21"/>
                <w:highlight w:val="none"/>
              </w:rPr>
            </w:pPr>
            <w:r>
              <w:rPr>
                <w:rFonts w:hint="eastAsia"/>
                <w:b/>
                <w:bCs/>
                <w:color w:val="auto"/>
                <w:szCs w:val="21"/>
                <w:highlight w:val="none"/>
              </w:rPr>
              <w:t>分子量和第二维利系数测量：</w:t>
            </w:r>
          </w:p>
          <w:p w14:paraId="2BE7EDE6">
            <w:pPr>
              <w:jc w:val="left"/>
              <w:rPr>
                <w:color w:val="auto"/>
                <w:szCs w:val="21"/>
                <w:highlight w:val="none"/>
              </w:rPr>
            </w:pPr>
            <w:r>
              <w:rPr>
                <w:rFonts w:hint="eastAsia"/>
                <w:color w:val="auto"/>
                <w:szCs w:val="21"/>
                <w:highlight w:val="none"/>
              </w:rPr>
              <w:t>△9、原理：静态光散射；</w:t>
            </w:r>
          </w:p>
          <w:p w14:paraId="43258D84">
            <w:pPr>
              <w:jc w:val="left"/>
              <w:rPr>
                <w:color w:val="auto"/>
                <w:szCs w:val="21"/>
                <w:highlight w:val="none"/>
              </w:rPr>
            </w:pPr>
            <w:r>
              <w:rPr>
                <w:rFonts w:hint="eastAsia"/>
                <w:color w:val="auto"/>
                <w:szCs w:val="21"/>
                <w:highlight w:val="none"/>
              </w:rPr>
              <w:t>#10、分子量测量范围：342Da-2*10⁷Da；</w:t>
            </w:r>
          </w:p>
          <w:p w14:paraId="00916240">
            <w:pPr>
              <w:jc w:val="left"/>
              <w:rPr>
                <w:color w:val="auto"/>
                <w:szCs w:val="21"/>
                <w:highlight w:val="none"/>
              </w:rPr>
            </w:pPr>
            <w:r>
              <w:rPr>
                <w:rFonts w:hint="eastAsia"/>
                <w:color w:val="auto"/>
                <w:szCs w:val="21"/>
                <w:highlight w:val="none"/>
              </w:rPr>
              <w:t>△11、第二维利系数A2 ：具备。</w:t>
            </w:r>
          </w:p>
          <w:p w14:paraId="43D837DE">
            <w:pPr>
              <w:jc w:val="left"/>
              <w:rPr>
                <w:b/>
                <w:bCs/>
                <w:color w:val="auto"/>
                <w:szCs w:val="21"/>
                <w:highlight w:val="none"/>
              </w:rPr>
            </w:pPr>
            <w:r>
              <w:rPr>
                <w:rFonts w:hint="eastAsia"/>
                <w:b/>
                <w:bCs/>
                <w:color w:val="auto"/>
                <w:szCs w:val="21"/>
                <w:highlight w:val="none"/>
              </w:rPr>
              <w:t>趋势测量分析：</w:t>
            </w:r>
          </w:p>
          <w:p w14:paraId="794A7FE7">
            <w:pPr>
              <w:jc w:val="left"/>
              <w:rPr>
                <w:color w:val="auto"/>
                <w:szCs w:val="21"/>
                <w:highlight w:val="none"/>
              </w:rPr>
            </w:pPr>
            <w:r>
              <w:rPr>
                <w:rFonts w:hint="eastAsia"/>
                <w:color w:val="auto"/>
                <w:szCs w:val="21"/>
                <w:highlight w:val="none"/>
              </w:rPr>
              <w:t>△12、温度：粒度与Zeta电位随温度变化趋势自动检测温度转变点；</w:t>
            </w:r>
          </w:p>
          <w:p w14:paraId="6B8BB956">
            <w:pPr>
              <w:jc w:val="left"/>
              <w:rPr>
                <w:color w:val="auto"/>
                <w:szCs w:val="21"/>
                <w:highlight w:val="none"/>
              </w:rPr>
            </w:pPr>
            <w:r>
              <w:rPr>
                <w:rFonts w:hint="eastAsia"/>
                <w:color w:val="auto"/>
                <w:szCs w:val="21"/>
                <w:highlight w:val="none"/>
              </w:rPr>
              <w:t>△13、时间：可检测粒度与Zeta电位随pH值的变化趋势；</w:t>
            </w:r>
          </w:p>
          <w:p w14:paraId="52ED289A">
            <w:pPr>
              <w:jc w:val="left"/>
              <w:rPr>
                <w:color w:val="auto"/>
                <w:szCs w:val="21"/>
                <w:highlight w:val="none"/>
              </w:rPr>
            </w:pPr>
            <w:r>
              <w:rPr>
                <w:rFonts w:hint="eastAsia"/>
                <w:color w:val="auto"/>
                <w:szCs w:val="21"/>
                <w:highlight w:val="none"/>
              </w:rPr>
              <w:t>△14、添加剂浓度：可检测粒度与Zeta电位随添加剂浓度的变化趋势。</w:t>
            </w:r>
          </w:p>
          <w:p w14:paraId="400DF9A4">
            <w:pPr>
              <w:jc w:val="left"/>
              <w:rPr>
                <w:b/>
                <w:bCs/>
                <w:color w:val="auto"/>
                <w:szCs w:val="21"/>
                <w:highlight w:val="none"/>
              </w:rPr>
            </w:pPr>
            <w:r>
              <w:rPr>
                <w:rFonts w:hint="eastAsia"/>
                <w:b/>
                <w:bCs/>
                <w:color w:val="auto"/>
                <w:szCs w:val="21"/>
                <w:highlight w:val="none"/>
              </w:rPr>
              <w:t>附加功能：</w:t>
            </w:r>
          </w:p>
          <w:p w14:paraId="0F54AAED">
            <w:pPr>
              <w:jc w:val="left"/>
              <w:rPr>
                <w:rFonts w:hint="eastAsia"/>
                <w:color w:val="auto"/>
                <w:szCs w:val="21"/>
                <w:highlight w:val="none"/>
              </w:rPr>
            </w:pPr>
            <w:r>
              <w:rPr>
                <w:rFonts w:hint="eastAsia"/>
                <w:color w:val="auto"/>
                <w:szCs w:val="21"/>
                <w:highlight w:val="none"/>
              </w:rPr>
              <w:t>△15、折射率测试功能；透过率/浓度测试功能；</w:t>
            </w:r>
          </w:p>
          <w:p w14:paraId="1013838C">
            <w:pPr>
              <w:jc w:val="left"/>
              <w:rPr>
                <w:color w:val="auto"/>
                <w:szCs w:val="21"/>
                <w:highlight w:val="none"/>
              </w:rPr>
            </w:pPr>
            <w:r>
              <w:rPr>
                <w:rFonts w:hint="eastAsia"/>
                <w:color w:val="auto"/>
                <w:szCs w:val="21"/>
                <w:highlight w:val="none"/>
              </w:rPr>
              <w:t>△16、可提供颗粒间相互作用力系数Kd；</w:t>
            </w:r>
          </w:p>
          <w:p w14:paraId="574DFDFD">
            <w:pPr>
              <w:jc w:val="left"/>
              <w:rPr>
                <w:color w:val="auto"/>
                <w:szCs w:val="21"/>
                <w:highlight w:val="none"/>
              </w:rPr>
            </w:pPr>
            <w:r>
              <w:rPr>
                <w:rFonts w:hint="eastAsia"/>
                <w:color w:val="auto"/>
                <w:szCs w:val="21"/>
                <w:highlight w:val="none"/>
              </w:rPr>
              <w:t>△17、可提供聚集指数。</w:t>
            </w:r>
          </w:p>
          <w:p w14:paraId="51746580">
            <w:pPr>
              <w:jc w:val="left"/>
              <w:rPr>
                <w:color w:val="auto"/>
                <w:szCs w:val="21"/>
                <w:highlight w:val="none"/>
              </w:rPr>
            </w:pPr>
          </w:p>
          <w:p w14:paraId="1983221C">
            <w:pPr>
              <w:jc w:val="left"/>
              <w:rPr>
                <w:b/>
                <w:bCs/>
                <w:color w:val="auto"/>
                <w:szCs w:val="21"/>
                <w:highlight w:val="none"/>
              </w:rPr>
            </w:pPr>
            <w:r>
              <w:rPr>
                <w:rFonts w:hint="eastAsia"/>
                <w:b/>
                <w:bCs/>
                <w:color w:val="auto"/>
                <w:szCs w:val="21"/>
                <w:highlight w:val="none"/>
              </w:rPr>
              <w:t>系统参数：</w:t>
            </w:r>
          </w:p>
          <w:p w14:paraId="06A96E95">
            <w:pPr>
              <w:jc w:val="left"/>
              <w:rPr>
                <w:color w:val="auto"/>
                <w:szCs w:val="21"/>
                <w:highlight w:val="none"/>
              </w:rPr>
            </w:pPr>
            <w:r>
              <w:rPr>
                <w:rFonts w:hint="eastAsia"/>
                <w:color w:val="auto"/>
                <w:szCs w:val="21"/>
                <w:highlight w:val="none"/>
              </w:rPr>
              <w:t>★18、光路：</w:t>
            </w:r>
          </w:p>
          <w:p w14:paraId="6C8CF82B">
            <w:pPr>
              <w:jc w:val="left"/>
              <w:rPr>
                <w:color w:val="auto"/>
                <w:szCs w:val="21"/>
                <w:highlight w:val="none"/>
              </w:rPr>
            </w:pPr>
            <w:r>
              <w:rPr>
                <w:rFonts w:hint="eastAsia"/>
                <w:color w:val="auto"/>
                <w:szCs w:val="21"/>
                <w:highlight w:val="none"/>
              </w:rPr>
              <w:t>18.1、全光纤光路，在一台仪器中集成了动态光散射、电泳光散射和静态光散射三种光学测量原理及技术。仪器设计采用全光纤光路技术、光纤耦合技术、光纤合束及分束技术、高性能固体激光光源、高速信号采集和处理硬件；</w:t>
            </w:r>
          </w:p>
          <w:p w14:paraId="5C3E51DF">
            <w:pPr>
              <w:jc w:val="left"/>
              <w:rPr>
                <w:color w:val="auto"/>
                <w:szCs w:val="21"/>
                <w:highlight w:val="none"/>
              </w:rPr>
            </w:pPr>
            <w:r>
              <w:rPr>
                <w:rFonts w:hint="eastAsia"/>
                <w:color w:val="auto"/>
                <w:szCs w:val="21"/>
                <w:highlight w:val="none"/>
              </w:rPr>
              <w:t>18.2、全密闭光路系统设计，能够有效防止光路污染对仪器测试性能的影响，日常使用无需维护；</w:t>
            </w:r>
          </w:p>
          <w:p w14:paraId="37A65088">
            <w:pPr>
              <w:jc w:val="left"/>
              <w:rPr>
                <w:color w:val="auto"/>
                <w:szCs w:val="21"/>
                <w:highlight w:val="none"/>
              </w:rPr>
            </w:pPr>
            <w:r>
              <w:rPr>
                <w:rFonts w:hint="eastAsia"/>
                <w:color w:val="auto"/>
                <w:szCs w:val="21"/>
                <w:highlight w:val="none"/>
              </w:rPr>
              <w:t>△19、激光器：激光光源采用高性能固体激光光源，激光波长638nm，功率达50mW；</w:t>
            </w:r>
          </w:p>
          <w:p w14:paraId="1D356440">
            <w:pPr>
              <w:jc w:val="left"/>
              <w:rPr>
                <w:color w:val="auto"/>
                <w:szCs w:val="21"/>
                <w:highlight w:val="none"/>
              </w:rPr>
            </w:pPr>
            <w:r>
              <w:rPr>
                <w:rFonts w:hint="eastAsia"/>
                <w:color w:val="auto"/>
                <w:szCs w:val="21"/>
                <w:highlight w:val="none"/>
              </w:rPr>
              <w:t>#20、检测器：APD使用极低暗计数的雪崩式光电二极管(APD)检测器，暗计数&lt;20cps；</w:t>
            </w:r>
          </w:p>
          <w:p w14:paraId="616BEAC9">
            <w:pPr>
              <w:jc w:val="left"/>
              <w:rPr>
                <w:color w:val="auto"/>
                <w:szCs w:val="21"/>
                <w:highlight w:val="none"/>
              </w:rPr>
            </w:pPr>
            <w:r>
              <w:rPr>
                <w:rFonts w:hint="eastAsia"/>
                <w:color w:val="auto"/>
                <w:szCs w:val="21"/>
                <w:highlight w:val="none"/>
              </w:rPr>
              <w:t>★21、检测点位置为0～6mm自动可调，在进行后向测试时，尤其是在进行高浓度样品测试时，检测点的位置可以设置自动调节，也可以根据需要设置为手动调节（需提供软件截图证明）；</w:t>
            </w:r>
          </w:p>
          <w:p w14:paraId="509F55E7">
            <w:pPr>
              <w:jc w:val="left"/>
              <w:rPr>
                <w:color w:val="auto"/>
                <w:szCs w:val="21"/>
                <w:highlight w:val="none"/>
              </w:rPr>
            </w:pPr>
            <w:r>
              <w:rPr>
                <w:rFonts w:hint="eastAsia"/>
                <w:color w:val="auto"/>
                <w:szCs w:val="21"/>
                <w:highlight w:val="none"/>
              </w:rPr>
              <w:t>#22、相关器：高速数字相关器，通道数&gt;4000， 自适应通道配置，1011动态线性范围，最短采样时间间隔可低至25ns；</w:t>
            </w:r>
          </w:p>
          <w:p w14:paraId="0C9ABE36">
            <w:pPr>
              <w:jc w:val="left"/>
              <w:rPr>
                <w:color w:val="auto"/>
                <w:szCs w:val="21"/>
                <w:highlight w:val="none"/>
              </w:rPr>
            </w:pPr>
            <w:r>
              <w:rPr>
                <w:rFonts w:hint="eastAsia"/>
                <w:color w:val="auto"/>
                <w:szCs w:val="21"/>
                <w:highlight w:val="none"/>
              </w:rPr>
              <w:t>★23、温度控制范围：样品温控系统可在-15℃～120℃范围内任意设定，控制精度±0.1℃，有效保证了测试结果高重现性；</w:t>
            </w:r>
          </w:p>
          <w:p w14:paraId="45031CEA">
            <w:pPr>
              <w:jc w:val="left"/>
              <w:rPr>
                <w:color w:val="auto"/>
                <w:szCs w:val="21"/>
                <w:highlight w:val="none"/>
              </w:rPr>
            </w:pPr>
            <w:r>
              <w:rPr>
                <w:rFonts w:hint="eastAsia"/>
                <w:color w:val="auto"/>
                <w:szCs w:val="21"/>
                <w:highlight w:val="none"/>
              </w:rPr>
              <w:t>△24、光强控制范围：0.0001%-100%，自动或手动控制；</w:t>
            </w:r>
          </w:p>
          <w:p w14:paraId="7376EFB6">
            <w:pPr>
              <w:jc w:val="left"/>
              <w:rPr>
                <w:rFonts w:hint="eastAsia"/>
                <w:color w:val="auto"/>
                <w:szCs w:val="21"/>
                <w:highlight w:val="none"/>
              </w:rPr>
            </w:pPr>
            <w:r>
              <w:rPr>
                <w:rFonts w:hint="eastAsia"/>
                <w:color w:val="auto"/>
                <w:szCs w:val="21"/>
                <w:highlight w:val="none"/>
              </w:rPr>
              <w:t>△25、冷凝控制：干燥气体吹扫技术。</w:t>
            </w:r>
          </w:p>
        </w:tc>
      </w:tr>
      <w:tr w14:paraId="2958C16E">
        <w:trPr>
          <w:trHeight w:val="587" w:hRule="atLeast"/>
          <w:jc w:val="center"/>
        </w:trPr>
        <w:tc>
          <w:tcPr>
            <w:tcW w:w="672" w:type="dxa"/>
            <w:noWrap w:val="0"/>
            <w:vAlign w:val="center"/>
          </w:tcPr>
          <w:p w14:paraId="62C1444D">
            <w:pPr>
              <w:jc w:val="center"/>
              <w:rPr>
                <w:color w:val="auto"/>
                <w:szCs w:val="21"/>
                <w:highlight w:val="none"/>
              </w:rPr>
            </w:pPr>
            <w:r>
              <w:rPr>
                <w:rFonts w:hint="eastAsia"/>
                <w:color w:val="auto"/>
                <w:szCs w:val="21"/>
                <w:highlight w:val="none"/>
              </w:rPr>
              <w:t>4</w:t>
            </w:r>
          </w:p>
        </w:tc>
        <w:tc>
          <w:tcPr>
            <w:tcW w:w="1686" w:type="dxa"/>
            <w:noWrap w:val="0"/>
            <w:vAlign w:val="center"/>
          </w:tcPr>
          <w:p w14:paraId="24DD1BFB">
            <w:pPr>
              <w:jc w:val="center"/>
              <w:rPr>
                <w:color w:val="auto"/>
                <w:szCs w:val="21"/>
                <w:highlight w:val="none"/>
              </w:rPr>
            </w:pPr>
            <w:r>
              <w:rPr>
                <w:rFonts w:hint="eastAsia"/>
                <w:color w:val="auto"/>
                <w:szCs w:val="21"/>
                <w:highlight w:val="none"/>
              </w:rPr>
              <w:t>晶圆原子级清洗辅助转运设备</w:t>
            </w:r>
          </w:p>
        </w:tc>
        <w:tc>
          <w:tcPr>
            <w:tcW w:w="6851" w:type="dxa"/>
            <w:noWrap w:val="0"/>
            <w:vAlign w:val="center"/>
          </w:tcPr>
          <w:p w14:paraId="6C0140B2">
            <w:pPr>
              <w:jc w:val="left"/>
              <w:rPr>
                <w:color w:val="auto"/>
                <w:szCs w:val="21"/>
                <w:highlight w:val="none"/>
              </w:rPr>
            </w:pPr>
            <w:r>
              <w:rPr>
                <w:rFonts w:hint="eastAsia"/>
                <w:color w:val="auto"/>
                <w:szCs w:val="21"/>
                <w:highlight w:val="none"/>
              </w:rPr>
              <w:t>#1、设备为半导体洁净晶圆真空搬运机械手，整机全不锈钢洁净结构，内置真空吸附式取片手指，用于原子级清洗设备晶圆上下料转运；</w:t>
            </w:r>
          </w:p>
          <w:p w14:paraId="5FA8F190">
            <w:pPr>
              <w:jc w:val="left"/>
              <w:rPr>
                <w:color w:val="auto"/>
                <w:szCs w:val="21"/>
                <w:highlight w:val="none"/>
              </w:rPr>
            </w:pPr>
            <w:r>
              <w:rPr>
                <w:rFonts w:hint="eastAsia"/>
                <w:color w:val="auto"/>
                <w:szCs w:val="21"/>
                <w:highlight w:val="none"/>
              </w:rPr>
              <w:t>#2、升降行程≥300mm，三轴运动（旋转、伸缩、升降），搭载专用洁净控制器，支持多通讯协议对接清洗设备 PLC；</w:t>
            </w:r>
          </w:p>
          <w:p w14:paraId="2480D123">
            <w:pPr>
              <w:jc w:val="left"/>
              <w:rPr>
                <w:color w:val="auto"/>
                <w:szCs w:val="21"/>
                <w:highlight w:val="none"/>
              </w:rPr>
            </w:pPr>
            <w:r>
              <w:rPr>
                <w:rFonts w:hint="eastAsia"/>
                <w:color w:val="auto"/>
                <w:szCs w:val="21"/>
                <w:highlight w:val="none"/>
              </w:rPr>
              <w:t>★3、重复定位精度：≤±0.1mm；</w:t>
            </w:r>
          </w:p>
          <w:p w14:paraId="4861E598">
            <w:pPr>
              <w:jc w:val="left"/>
              <w:rPr>
                <w:color w:val="auto"/>
                <w:szCs w:val="21"/>
                <w:highlight w:val="none"/>
              </w:rPr>
            </w:pPr>
            <w:r>
              <w:rPr>
                <w:rFonts w:hint="eastAsia"/>
                <w:color w:val="auto"/>
                <w:szCs w:val="21"/>
                <w:highlight w:val="none"/>
              </w:rPr>
              <w:t xml:space="preserve">△4、额定负载：≥0.5kg； </w:t>
            </w:r>
          </w:p>
          <w:p w14:paraId="48B56797">
            <w:pPr>
              <w:jc w:val="left"/>
              <w:rPr>
                <w:color w:val="auto"/>
                <w:szCs w:val="21"/>
                <w:highlight w:val="none"/>
              </w:rPr>
            </w:pPr>
            <w:r>
              <w:rPr>
                <w:rFonts w:hint="eastAsia"/>
                <w:color w:val="auto"/>
                <w:szCs w:val="21"/>
                <w:highlight w:val="none"/>
              </w:rPr>
              <w:t xml:space="preserve">△5、手臂有效伸缩长度：≥640mm； </w:t>
            </w:r>
          </w:p>
          <w:p w14:paraId="1A2B93B0">
            <w:pPr>
              <w:jc w:val="left"/>
              <w:rPr>
                <w:color w:val="auto"/>
                <w:szCs w:val="21"/>
                <w:highlight w:val="none"/>
              </w:rPr>
            </w:pPr>
            <w:r>
              <w:rPr>
                <w:rFonts w:hint="eastAsia"/>
                <w:color w:val="auto"/>
                <w:szCs w:val="21"/>
                <w:highlight w:val="none"/>
              </w:rPr>
              <w:t xml:space="preserve">△6、手臂最大搬运线速度：≥750mm/s； </w:t>
            </w:r>
          </w:p>
          <w:p w14:paraId="2D71B972">
            <w:pPr>
              <w:jc w:val="left"/>
              <w:rPr>
                <w:color w:val="auto"/>
                <w:szCs w:val="21"/>
                <w:highlight w:val="none"/>
              </w:rPr>
            </w:pPr>
            <w:r>
              <w:rPr>
                <w:rFonts w:hint="eastAsia"/>
                <w:color w:val="auto"/>
                <w:szCs w:val="21"/>
                <w:highlight w:val="none"/>
              </w:rPr>
              <w:t>△7、旋转运动范围：≥±335°；</w:t>
            </w:r>
          </w:p>
          <w:p w14:paraId="09E73D02">
            <w:pPr>
              <w:jc w:val="left"/>
              <w:rPr>
                <w:color w:val="auto"/>
                <w:szCs w:val="21"/>
                <w:highlight w:val="none"/>
              </w:rPr>
            </w:pPr>
            <w:r>
              <w:rPr>
                <w:rFonts w:hint="eastAsia"/>
                <w:color w:val="auto"/>
                <w:szCs w:val="21"/>
                <w:highlight w:val="none"/>
              </w:rPr>
              <w:t>△8、旋转最大转速：≥205°/s；</w:t>
            </w:r>
          </w:p>
          <w:p w14:paraId="6DAD1332">
            <w:pPr>
              <w:jc w:val="left"/>
              <w:rPr>
                <w:color w:val="auto"/>
                <w:szCs w:val="21"/>
                <w:highlight w:val="none"/>
              </w:rPr>
            </w:pPr>
            <w:r>
              <w:rPr>
                <w:rFonts w:hint="eastAsia"/>
                <w:color w:val="auto"/>
                <w:szCs w:val="21"/>
                <w:highlight w:val="none"/>
              </w:rPr>
              <w:t>△9、升降最大移动速度：≥250mm/s；</w:t>
            </w:r>
          </w:p>
          <w:p w14:paraId="6D629F39">
            <w:pPr>
              <w:jc w:val="left"/>
              <w:rPr>
                <w:color w:val="auto"/>
                <w:szCs w:val="21"/>
                <w:highlight w:val="none"/>
              </w:rPr>
            </w:pPr>
            <w:r>
              <w:rPr>
                <w:rFonts w:hint="eastAsia"/>
                <w:color w:val="auto"/>
                <w:szCs w:val="21"/>
                <w:highlight w:val="none"/>
              </w:rPr>
              <w:t>#10、洁净等级：不低于 Class 2；</w:t>
            </w:r>
          </w:p>
          <w:p w14:paraId="1A99F3CE">
            <w:pPr>
              <w:jc w:val="left"/>
              <w:rPr>
                <w:color w:val="auto"/>
                <w:szCs w:val="21"/>
                <w:highlight w:val="none"/>
              </w:rPr>
            </w:pPr>
            <w:r>
              <w:rPr>
                <w:rFonts w:hint="eastAsia"/>
                <w:color w:val="auto"/>
                <w:szCs w:val="21"/>
                <w:highlight w:val="none"/>
              </w:rPr>
              <w:t xml:space="preserve">#11、晶圆夹持方式：真空吸附式手指，真空负压不低于 - 40kPa； </w:t>
            </w:r>
          </w:p>
          <w:p w14:paraId="79EE0BD5">
            <w:pPr>
              <w:jc w:val="left"/>
              <w:rPr>
                <w:color w:val="auto"/>
                <w:szCs w:val="21"/>
                <w:highlight w:val="none"/>
              </w:rPr>
            </w:pPr>
            <w:r>
              <w:rPr>
                <w:rFonts w:hint="eastAsia"/>
                <w:color w:val="auto"/>
                <w:szCs w:val="21"/>
                <w:highlight w:val="none"/>
              </w:rPr>
              <w:t>★12、适配晶圆尺寸：6 英寸；</w:t>
            </w:r>
          </w:p>
          <w:p w14:paraId="2D874ECB">
            <w:pPr>
              <w:jc w:val="left"/>
              <w:rPr>
                <w:color w:val="auto"/>
                <w:szCs w:val="21"/>
                <w:highlight w:val="none"/>
              </w:rPr>
            </w:pPr>
            <w:r>
              <w:rPr>
                <w:rFonts w:hint="eastAsia"/>
                <w:color w:val="auto"/>
                <w:szCs w:val="21"/>
                <w:highlight w:val="none"/>
              </w:rPr>
              <w:t>△13、配套独立专用控制器，支持运动程序存储、点位自定义；</w:t>
            </w:r>
          </w:p>
          <w:p w14:paraId="6578AE7F">
            <w:pPr>
              <w:jc w:val="left"/>
              <w:rPr>
                <w:rFonts w:hint="eastAsia"/>
                <w:color w:val="auto"/>
                <w:szCs w:val="21"/>
                <w:highlight w:val="none"/>
              </w:rPr>
            </w:pPr>
            <w:r>
              <w:rPr>
                <w:rFonts w:hint="eastAsia"/>
                <w:color w:val="auto"/>
                <w:szCs w:val="21"/>
                <w:highlight w:val="none"/>
              </w:rPr>
              <w:t>△14、通讯接口至少具备以下一种：RS232、RS485、以太网 TCP、并口 IO，支持设备联机通讯。</w:t>
            </w:r>
          </w:p>
          <w:p w14:paraId="12DFF277">
            <w:pPr>
              <w:widowControl/>
              <w:spacing w:line="360" w:lineRule="atLeast"/>
              <w:jc w:val="left"/>
              <w:rPr>
                <w:color w:val="auto"/>
                <w:szCs w:val="21"/>
                <w:highlight w:val="none"/>
              </w:rPr>
            </w:pPr>
          </w:p>
        </w:tc>
      </w:tr>
    </w:tbl>
    <w:p w14:paraId="218B4A27">
      <w:pPr>
        <w:keepNext/>
        <w:spacing w:line="360" w:lineRule="auto"/>
        <w:rPr>
          <w:rFonts w:hint="eastAsia"/>
          <w:b/>
          <w:color w:val="auto"/>
          <w:sz w:val="24"/>
          <w:highlight w:val="none"/>
        </w:rPr>
      </w:pPr>
    </w:p>
    <w:p w14:paraId="50DF0B77">
      <w:pPr>
        <w:keepNext/>
        <w:numPr>
          <w:ilvl w:val="0"/>
          <w:numId w:val="4"/>
        </w:numPr>
        <w:spacing w:line="360" w:lineRule="auto"/>
        <w:rPr>
          <w:rFonts w:hint="eastAsia" w:ascii="宋体" w:hAnsi="宋体" w:cs="宋体"/>
          <w:b/>
          <w:color w:val="auto"/>
          <w:sz w:val="24"/>
          <w:highlight w:val="none"/>
        </w:rPr>
      </w:pPr>
      <w:r>
        <w:rPr>
          <w:rFonts w:hint="eastAsia" w:ascii="宋体" w:hAnsi="宋体" w:cs="宋体"/>
          <w:b/>
          <w:color w:val="auto"/>
          <w:sz w:val="24"/>
          <w:highlight w:val="none"/>
        </w:rPr>
        <w:t>其他服务要求</w:t>
      </w:r>
    </w:p>
    <w:tbl>
      <w:tblPr>
        <w:tblStyle w:val="3"/>
        <w:tblW w:w="9298" w:type="dxa"/>
        <w:jc w:val="center"/>
        <w:tblLayout w:type="fixed"/>
        <w:tblCellMar>
          <w:top w:w="0" w:type="dxa"/>
          <w:left w:w="108" w:type="dxa"/>
          <w:bottom w:w="0" w:type="dxa"/>
          <w:right w:w="108" w:type="dxa"/>
        </w:tblCellMar>
      </w:tblPr>
      <w:tblGrid>
        <w:gridCol w:w="780"/>
        <w:gridCol w:w="1134"/>
        <w:gridCol w:w="1134"/>
        <w:gridCol w:w="6250"/>
      </w:tblGrid>
      <w:tr w14:paraId="1179B961">
        <w:trPr>
          <w:trHeight w:val="663" w:hRule="atLeast"/>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36B4438F">
            <w:pPr>
              <w:spacing w:line="360" w:lineRule="auto"/>
              <w:jc w:val="center"/>
              <w:rPr>
                <w:b/>
                <w:bCs/>
                <w:color w:val="auto"/>
                <w:szCs w:val="21"/>
                <w:highlight w:val="none"/>
              </w:rPr>
            </w:pPr>
            <w:bookmarkStart w:id="1" w:name="_Hlk150412871"/>
            <w:r>
              <w:rPr>
                <w:b/>
                <w:color w:val="auto"/>
                <w:highlight w:val="none"/>
              </w:rPr>
              <w:t>序号</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3C79DC5">
            <w:pPr>
              <w:spacing w:line="360" w:lineRule="auto"/>
              <w:jc w:val="center"/>
              <w:rPr>
                <w:b/>
                <w:color w:val="auto"/>
                <w:highlight w:val="none"/>
              </w:rPr>
            </w:pPr>
            <w:r>
              <w:rPr>
                <w:b/>
                <w:color w:val="auto"/>
                <w:highlight w:val="none"/>
              </w:rPr>
              <w:t>服务要求项目</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BA3FA8B">
            <w:pPr>
              <w:spacing w:line="360" w:lineRule="auto"/>
              <w:jc w:val="center"/>
              <w:rPr>
                <w:b/>
                <w:bCs/>
                <w:color w:val="auto"/>
                <w:szCs w:val="21"/>
                <w:highlight w:val="none"/>
              </w:rPr>
            </w:pPr>
            <w:r>
              <w:rPr>
                <w:rFonts w:hint="eastAsia"/>
                <w:b/>
                <w:bCs/>
                <w:color w:val="auto"/>
                <w:szCs w:val="21"/>
                <w:highlight w:val="none"/>
              </w:rPr>
              <w:t>指标符号</w:t>
            </w:r>
          </w:p>
        </w:tc>
        <w:tc>
          <w:tcPr>
            <w:tcW w:w="6250" w:type="dxa"/>
            <w:tcBorders>
              <w:top w:val="single" w:color="auto" w:sz="4" w:space="0"/>
              <w:left w:val="single" w:color="auto" w:sz="4" w:space="0"/>
              <w:bottom w:val="single" w:color="auto" w:sz="4" w:space="0"/>
              <w:right w:val="single" w:color="auto" w:sz="4" w:space="0"/>
            </w:tcBorders>
            <w:noWrap w:val="0"/>
            <w:vAlign w:val="center"/>
          </w:tcPr>
          <w:p w14:paraId="6DC52D7A">
            <w:pPr>
              <w:spacing w:line="360" w:lineRule="auto"/>
              <w:jc w:val="center"/>
              <w:rPr>
                <w:b/>
                <w:bCs/>
                <w:color w:val="auto"/>
                <w:szCs w:val="21"/>
                <w:highlight w:val="none"/>
              </w:rPr>
            </w:pPr>
            <w:r>
              <w:rPr>
                <w:b/>
                <w:color w:val="auto"/>
                <w:highlight w:val="none"/>
              </w:rPr>
              <w:t>服务要求标准</w:t>
            </w:r>
          </w:p>
        </w:tc>
      </w:tr>
      <w:tr w14:paraId="4E41783C">
        <w:trPr>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2D9E17E9">
            <w:pPr>
              <w:spacing w:line="360" w:lineRule="auto"/>
              <w:jc w:val="center"/>
              <w:rPr>
                <w:b/>
                <w:bCs/>
                <w:color w:val="auto"/>
                <w:szCs w:val="21"/>
                <w:highlight w:val="none"/>
              </w:rPr>
            </w:pPr>
            <w:r>
              <w:rPr>
                <w:color w:val="auto"/>
                <w:highlight w:val="none"/>
              </w:rPr>
              <w:t>1</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5F20FF7">
            <w:pPr>
              <w:tabs>
                <w:tab w:val="left" w:pos="862"/>
                <w:tab w:val="left" w:pos="993"/>
              </w:tabs>
              <w:adjustRightInd w:val="0"/>
              <w:snapToGrid w:val="0"/>
              <w:spacing w:line="360" w:lineRule="auto"/>
              <w:rPr>
                <w:color w:val="auto"/>
                <w:szCs w:val="21"/>
                <w:highlight w:val="none"/>
              </w:rPr>
            </w:pPr>
            <w:r>
              <w:rPr>
                <w:rFonts w:hint="eastAsia"/>
                <w:color w:val="auto"/>
                <w:szCs w:val="21"/>
                <w:highlight w:val="none"/>
              </w:rPr>
              <w:t>技术文件</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C583150">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w:t>
            </w:r>
          </w:p>
        </w:tc>
        <w:tc>
          <w:tcPr>
            <w:tcW w:w="6250" w:type="dxa"/>
            <w:tcBorders>
              <w:top w:val="single" w:color="auto" w:sz="4" w:space="0"/>
              <w:left w:val="single" w:color="auto" w:sz="4" w:space="0"/>
              <w:bottom w:val="single" w:color="auto" w:sz="4" w:space="0"/>
              <w:right w:val="single" w:color="auto" w:sz="4" w:space="0"/>
            </w:tcBorders>
            <w:noWrap w:val="0"/>
            <w:vAlign w:val="center"/>
          </w:tcPr>
          <w:p w14:paraId="15B1D522">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供应商承诺提供全套、完整的书面技术资料，包括仪器说明书、操作手册、简单维修说明等。</w:t>
            </w:r>
          </w:p>
          <w:p w14:paraId="29B5632A">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注：提供书面承诺函并加盖供应商公章。</w:t>
            </w:r>
          </w:p>
        </w:tc>
      </w:tr>
      <w:tr w14:paraId="05D51B8F">
        <w:trPr>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6EF0EADB">
            <w:pPr>
              <w:spacing w:line="360" w:lineRule="auto"/>
              <w:jc w:val="center"/>
              <w:rPr>
                <w:b/>
                <w:bCs/>
                <w:color w:val="auto"/>
                <w:szCs w:val="21"/>
                <w:highlight w:val="none"/>
              </w:rPr>
            </w:pPr>
            <w:r>
              <w:rPr>
                <w:color w:val="auto"/>
                <w:highlight w:val="none"/>
              </w:rPr>
              <w:t>2</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12C6337">
            <w:pPr>
              <w:tabs>
                <w:tab w:val="left" w:pos="862"/>
                <w:tab w:val="left" w:pos="993"/>
              </w:tabs>
              <w:adjustRightInd w:val="0"/>
              <w:snapToGrid w:val="0"/>
              <w:spacing w:line="360" w:lineRule="auto"/>
              <w:rPr>
                <w:color w:val="auto"/>
                <w:szCs w:val="21"/>
                <w:highlight w:val="none"/>
              </w:rPr>
            </w:pPr>
            <w:r>
              <w:rPr>
                <w:rFonts w:hint="eastAsia"/>
                <w:color w:val="auto"/>
                <w:szCs w:val="21"/>
                <w:highlight w:val="none"/>
              </w:rPr>
              <w:t>设备安装、调试和验收</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7B2AF2B">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w:t>
            </w:r>
          </w:p>
        </w:tc>
        <w:tc>
          <w:tcPr>
            <w:tcW w:w="6250" w:type="dxa"/>
            <w:tcBorders>
              <w:top w:val="single" w:color="auto" w:sz="4" w:space="0"/>
              <w:left w:val="single" w:color="auto" w:sz="4" w:space="0"/>
              <w:bottom w:val="single" w:color="auto" w:sz="4" w:space="0"/>
              <w:right w:val="single" w:color="auto" w:sz="4" w:space="0"/>
            </w:tcBorders>
            <w:noWrap w:val="0"/>
            <w:vAlign w:val="center"/>
          </w:tcPr>
          <w:p w14:paraId="3DA379AE">
            <w:pPr>
              <w:tabs>
                <w:tab w:val="left" w:pos="862"/>
                <w:tab w:val="left" w:pos="993"/>
              </w:tabs>
              <w:adjustRightInd w:val="0"/>
              <w:snapToGrid w:val="0"/>
              <w:spacing w:line="360" w:lineRule="auto"/>
              <w:ind w:firstLine="420" w:firstLineChars="200"/>
              <w:rPr>
                <w:rFonts w:hint="eastAsia"/>
                <w:color w:val="auto"/>
                <w:szCs w:val="21"/>
                <w:highlight w:val="none"/>
              </w:rPr>
            </w:pPr>
            <w:r>
              <w:rPr>
                <w:rFonts w:hint="eastAsia"/>
                <w:color w:val="auto"/>
                <w:szCs w:val="21"/>
                <w:highlight w:val="none"/>
              </w:rPr>
              <w:t>供应商承诺在合同生效后向采购人提供详细的安装要求并提供技术咨询；在仪器到达前，供应商应通知用户水、电、气及其他仪器等必备辅助设施的具体要求，从而让采购人提前做好仪器安装准备。仪器到达用户所在地，在接到用户通知后一周内进行安装调试，直至通过验收。</w:t>
            </w:r>
          </w:p>
          <w:p w14:paraId="6EABFD19">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注：提供书面承诺函并加盖供应商公章。</w:t>
            </w:r>
          </w:p>
        </w:tc>
      </w:tr>
      <w:tr w14:paraId="4F494A17">
        <w:trPr>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32DDE9AC">
            <w:pPr>
              <w:spacing w:line="360" w:lineRule="auto"/>
              <w:jc w:val="center"/>
              <w:rPr>
                <w:b/>
                <w:bCs/>
                <w:color w:val="auto"/>
                <w:szCs w:val="21"/>
                <w:highlight w:val="none"/>
              </w:rPr>
            </w:pPr>
            <w:r>
              <w:rPr>
                <w:color w:val="auto"/>
                <w:highlight w:val="none"/>
              </w:rPr>
              <w:t>3</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9DBBE2C">
            <w:pPr>
              <w:tabs>
                <w:tab w:val="left" w:pos="862"/>
                <w:tab w:val="left" w:pos="993"/>
              </w:tabs>
              <w:adjustRightInd w:val="0"/>
              <w:snapToGrid w:val="0"/>
              <w:spacing w:line="360" w:lineRule="auto"/>
              <w:rPr>
                <w:color w:val="auto"/>
                <w:szCs w:val="21"/>
                <w:highlight w:val="none"/>
              </w:rPr>
            </w:pPr>
            <w:r>
              <w:rPr>
                <w:rFonts w:hint="eastAsia"/>
                <w:color w:val="auto"/>
                <w:szCs w:val="21"/>
                <w:highlight w:val="none"/>
              </w:rPr>
              <w:t>技术培训</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12A46EE">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w:t>
            </w:r>
          </w:p>
        </w:tc>
        <w:tc>
          <w:tcPr>
            <w:tcW w:w="6250" w:type="dxa"/>
            <w:tcBorders>
              <w:top w:val="single" w:color="auto" w:sz="4" w:space="0"/>
              <w:left w:val="single" w:color="auto" w:sz="4" w:space="0"/>
              <w:bottom w:val="single" w:color="auto" w:sz="4" w:space="0"/>
              <w:right w:val="single" w:color="auto" w:sz="4" w:space="0"/>
            </w:tcBorders>
            <w:noWrap w:val="0"/>
            <w:vAlign w:val="center"/>
          </w:tcPr>
          <w:p w14:paraId="1A838C5A">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供应商承诺提供完整的培训，包括内容、人员、时间、地点、频次等。在用户所在地对仪器使用者2-3人进行仪器操作和维护进行培训，使被培训人员达到能够熟练使用。培训内容包括仪器的技术原理、操作、数据处理、基本维护等。场地、交通等与培训相关的费用均由供应商承担。</w:t>
            </w:r>
          </w:p>
          <w:p w14:paraId="4CB9F58F">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注：提供书面承诺函并加盖供应商公章。</w:t>
            </w:r>
          </w:p>
        </w:tc>
      </w:tr>
      <w:tr w14:paraId="36E478C8">
        <w:trPr>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5518713E">
            <w:pPr>
              <w:spacing w:line="360" w:lineRule="auto"/>
              <w:jc w:val="center"/>
              <w:rPr>
                <w:b/>
                <w:bCs/>
                <w:color w:val="auto"/>
                <w:szCs w:val="21"/>
                <w:highlight w:val="none"/>
              </w:rPr>
            </w:pPr>
            <w:r>
              <w:rPr>
                <w:color w:val="auto"/>
                <w:highlight w:val="none"/>
              </w:rPr>
              <w:t>4</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85758B9">
            <w:pPr>
              <w:tabs>
                <w:tab w:val="left" w:pos="862"/>
                <w:tab w:val="left" w:pos="993"/>
              </w:tabs>
              <w:adjustRightInd w:val="0"/>
              <w:snapToGrid w:val="0"/>
              <w:spacing w:line="360" w:lineRule="auto"/>
              <w:rPr>
                <w:color w:val="auto"/>
                <w:szCs w:val="21"/>
                <w:highlight w:val="none"/>
              </w:rPr>
            </w:pPr>
            <w:r>
              <w:rPr>
                <w:rFonts w:hint="eastAsia"/>
                <w:color w:val="auto"/>
                <w:szCs w:val="21"/>
                <w:highlight w:val="none"/>
              </w:rPr>
              <w:t>售后服务承诺</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CC8151E">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w:t>
            </w:r>
          </w:p>
        </w:tc>
        <w:tc>
          <w:tcPr>
            <w:tcW w:w="6250" w:type="dxa"/>
            <w:tcBorders>
              <w:top w:val="single" w:color="auto" w:sz="4" w:space="0"/>
              <w:left w:val="single" w:color="auto" w:sz="4" w:space="0"/>
              <w:bottom w:val="single" w:color="auto" w:sz="4" w:space="0"/>
              <w:right w:val="single" w:color="auto" w:sz="4" w:space="0"/>
            </w:tcBorders>
            <w:noWrap w:val="0"/>
            <w:vAlign w:val="center"/>
          </w:tcPr>
          <w:p w14:paraId="4FFB51CE">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1.供应商承诺所有软硬件不少于一年保修，在保修期内，如果软硬件发生故障，在接到采购人通知后须在2小时内提供技术响应。如采购人需要，供应商应在8小时之内安排技术人员到达现场，24小时内排除故障，负责调查故障原因并实施更换、修复等工作直至故障解决。</w:t>
            </w:r>
          </w:p>
          <w:p w14:paraId="4290C21C">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2. 供应商承诺所有硬件过一年免费保修期后按制造商统一报价收取维修费、所有软件如有同版本升级，提供免费升级服务。</w:t>
            </w:r>
          </w:p>
          <w:p w14:paraId="1F01E5C5">
            <w:pPr>
              <w:tabs>
                <w:tab w:val="left" w:pos="862"/>
                <w:tab w:val="left" w:pos="993"/>
              </w:tabs>
              <w:adjustRightInd w:val="0"/>
              <w:snapToGrid w:val="0"/>
              <w:spacing w:line="360" w:lineRule="auto"/>
              <w:ind w:firstLine="420" w:firstLineChars="200"/>
              <w:rPr>
                <w:color w:val="auto"/>
                <w:szCs w:val="21"/>
                <w:highlight w:val="none"/>
              </w:rPr>
            </w:pPr>
            <w:bookmarkStart w:id="2" w:name="OLE_LINK4"/>
            <w:bookmarkStart w:id="3" w:name="OLE_LINK3"/>
            <w:r>
              <w:rPr>
                <w:rFonts w:hint="eastAsia"/>
                <w:color w:val="auto"/>
                <w:szCs w:val="21"/>
                <w:highlight w:val="none"/>
              </w:rPr>
              <w:t>注：</w:t>
            </w:r>
            <w:bookmarkStart w:id="4" w:name="OLE_LINK1"/>
            <w:bookmarkStart w:id="5" w:name="OLE_LINK2"/>
            <w:r>
              <w:rPr>
                <w:rFonts w:hint="eastAsia"/>
                <w:color w:val="auto"/>
                <w:szCs w:val="21"/>
                <w:highlight w:val="none"/>
              </w:rPr>
              <w:t>提供承诺函并加盖供应商公章。</w:t>
            </w:r>
            <w:bookmarkEnd w:id="2"/>
            <w:bookmarkEnd w:id="3"/>
            <w:bookmarkEnd w:id="4"/>
            <w:bookmarkEnd w:id="5"/>
          </w:p>
        </w:tc>
      </w:tr>
      <w:tr w14:paraId="417FAFF3">
        <w:trPr>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69203632">
            <w:pPr>
              <w:spacing w:line="360" w:lineRule="auto"/>
              <w:jc w:val="center"/>
              <w:rPr>
                <w:color w:val="auto"/>
                <w:highlight w:val="none"/>
              </w:rPr>
            </w:pPr>
            <w:r>
              <w:rPr>
                <w:rFonts w:hint="eastAsia"/>
                <w:color w:val="auto"/>
                <w:highlight w:val="none"/>
              </w:rPr>
              <w:t>5</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87653D1">
            <w:pPr>
              <w:tabs>
                <w:tab w:val="left" w:pos="862"/>
                <w:tab w:val="left" w:pos="993"/>
              </w:tabs>
              <w:adjustRightInd w:val="0"/>
              <w:snapToGrid w:val="0"/>
              <w:spacing w:line="360" w:lineRule="auto"/>
              <w:rPr>
                <w:color w:val="auto"/>
                <w:szCs w:val="21"/>
                <w:highlight w:val="none"/>
              </w:rPr>
            </w:pPr>
            <w:r>
              <w:rPr>
                <w:rFonts w:hint="eastAsia"/>
                <w:color w:val="auto"/>
                <w:szCs w:val="21"/>
                <w:highlight w:val="none"/>
              </w:rPr>
              <w:t>原厂售后服务承诺</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53A0792">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w:t>
            </w:r>
          </w:p>
        </w:tc>
        <w:tc>
          <w:tcPr>
            <w:tcW w:w="6250" w:type="dxa"/>
            <w:tcBorders>
              <w:top w:val="single" w:color="auto" w:sz="4" w:space="0"/>
              <w:left w:val="single" w:color="auto" w:sz="4" w:space="0"/>
              <w:bottom w:val="single" w:color="auto" w:sz="4" w:space="0"/>
              <w:right w:val="single" w:color="auto" w:sz="4" w:space="0"/>
            </w:tcBorders>
            <w:noWrap w:val="0"/>
            <w:vAlign w:val="center"/>
          </w:tcPr>
          <w:p w14:paraId="7F917AFE">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供应商承诺中标后提供本项目所有设备原厂商售后服务承诺函加盖原厂公章，原厂售后服务承诺函包括以下服务内容：不少于一年免费保修，原厂工程师技术支持服务。</w:t>
            </w:r>
          </w:p>
          <w:p w14:paraId="53A777B8">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注：提供承诺函并加盖供应商公章。</w:t>
            </w:r>
          </w:p>
        </w:tc>
      </w:tr>
      <w:tr w14:paraId="10A4C487">
        <w:trPr>
          <w:trHeight w:val="529" w:hRule="atLeast"/>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4CC9094E">
            <w:pPr>
              <w:spacing w:line="360" w:lineRule="auto"/>
              <w:jc w:val="center"/>
              <w:rPr>
                <w:b/>
                <w:bCs/>
                <w:color w:val="auto"/>
                <w:szCs w:val="21"/>
                <w:highlight w:val="none"/>
              </w:rPr>
            </w:pPr>
            <w:r>
              <w:rPr>
                <w:color w:val="auto"/>
                <w:highlight w:val="none"/>
              </w:rPr>
              <w:t>6</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B301DED">
            <w:pPr>
              <w:tabs>
                <w:tab w:val="left" w:pos="862"/>
                <w:tab w:val="left" w:pos="993"/>
              </w:tabs>
              <w:adjustRightInd w:val="0"/>
              <w:snapToGrid w:val="0"/>
              <w:spacing w:line="360" w:lineRule="auto"/>
              <w:rPr>
                <w:color w:val="auto"/>
                <w:szCs w:val="21"/>
                <w:highlight w:val="none"/>
              </w:rPr>
            </w:pPr>
            <w:r>
              <w:rPr>
                <w:rFonts w:hint="eastAsia"/>
                <w:color w:val="auto"/>
                <w:szCs w:val="21"/>
                <w:highlight w:val="none"/>
              </w:rPr>
              <w:t>备品备件</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A825279">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w:t>
            </w:r>
          </w:p>
        </w:tc>
        <w:tc>
          <w:tcPr>
            <w:tcW w:w="6250" w:type="dxa"/>
            <w:tcBorders>
              <w:top w:val="single" w:color="auto" w:sz="4" w:space="0"/>
              <w:left w:val="single" w:color="auto" w:sz="4" w:space="0"/>
              <w:bottom w:val="single" w:color="auto" w:sz="4" w:space="0"/>
              <w:right w:val="single" w:color="auto" w:sz="4" w:space="0"/>
            </w:tcBorders>
            <w:noWrap w:val="0"/>
            <w:vAlign w:val="center"/>
          </w:tcPr>
          <w:p w14:paraId="2618F550">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供应商承诺如投标货物有备品备件，则全部货物的各备品备件均保证齐备、充足供应，若因产品升级更新等原因不能保障供应造成采购人损失的，供应商承担全部赔偿责任，在交货时需向采购人提供货物常规备品备件。</w:t>
            </w:r>
          </w:p>
          <w:p w14:paraId="0F3778D5">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注：提供承诺函并加盖供应商公章。</w:t>
            </w:r>
          </w:p>
        </w:tc>
      </w:tr>
      <w:tr w14:paraId="6E88132B">
        <w:trPr>
          <w:trHeight w:val="559" w:hRule="atLeast"/>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2BF9BBA3">
            <w:pPr>
              <w:spacing w:line="440" w:lineRule="exact"/>
              <w:jc w:val="center"/>
              <w:rPr>
                <w:rFonts w:hint="eastAsia"/>
                <w:color w:val="auto"/>
                <w:szCs w:val="21"/>
                <w:highlight w:val="none"/>
              </w:rPr>
            </w:pPr>
            <w:r>
              <w:rPr>
                <w:rFonts w:hint="eastAsia"/>
                <w:color w:val="auto"/>
                <w:szCs w:val="21"/>
                <w:highlight w:val="none"/>
              </w:rPr>
              <w:t>7</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4270458">
            <w:pPr>
              <w:tabs>
                <w:tab w:val="left" w:pos="862"/>
                <w:tab w:val="left" w:pos="993"/>
              </w:tabs>
              <w:adjustRightInd w:val="0"/>
              <w:snapToGrid w:val="0"/>
              <w:spacing w:line="360" w:lineRule="auto"/>
              <w:rPr>
                <w:color w:val="auto"/>
                <w:szCs w:val="21"/>
                <w:highlight w:val="none"/>
              </w:rPr>
            </w:pPr>
            <w:r>
              <w:rPr>
                <w:rFonts w:hint="eastAsia"/>
                <w:color w:val="auto"/>
                <w:szCs w:val="21"/>
                <w:highlight w:val="none"/>
              </w:rPr>
              <w:t>集成实施服务</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839427F">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w:t>
            </w:r>
          </w:p>
        </w:tc>
        <w:tc>
          <w:tcPr>
            <w:tcW w:w="6250" w:type="dxa"/>
            <w:tcBorders>
              <w:top w:val="single" w:color="auto" w:sz="4" w:space="0"/>
              <w:left w:val="single" w:color="auto" w:sz="4" w:space="0"/>
              <w:bottom w:val="single" w:color="auto" w:sz="4" w:space="0"/>
              <w:right w:val="single" w:color="auto" w:sz="4" w:space="0"/>
            </w:tcBorders>
            <w:noWrap w:val="0"/>
            <w:vAlign w:val="center"/>
          </w:tcPr>
          <w:p w14:paraId="79F22F6D">
            <w:pPr>
              <w:tabs>
                <w:tab w:val="left" w:pos="862"/>
                <w:tab w:val="left" w:pos="993"/>
              </w:tabs>
              <w:adjustRightInd w:val="0"/>
              <w:snapToGrid w:val="0"/>
              <w:spacing w:line="360" w:lineRule="auto"/>
              <w:ind w:firstLine="420" w:firstLineChars="200"/>
              <w:rPr>
                <w:color w:val="auto"/>
                <w:szCs w:val="21"/>
                <w:highlight w:val="none"/>
              </w:rPr>
            </w:pPr>
            <w:r>
              <w:rPr>
                <w:rFonts w:hint="eastAsia"/>
                <w:color w:val="auto"/>
                <w:szCs w:val="21"/>
                <w:highlight w:val="none"/>
              </w:rPr>
              <w:t>供应商要根据本项目特点，提供集成实施和安装施工调试服务，负责本次所有产品的安装调试集成等服务工作（费用包含在总价中）。</w:t>
            </w:r>
          </w:p>
        </w:tc>
      </w:tr>
      <w:bookmarkEnd w:id="1"/>
    </w:tbl>
    <w:p w14:paraId="3D4316FC">
      <w:pPr>
        <w:keepNext/>
        <w:spacing w:line="360" w:lineRule="auto"/>
        <w:rPr>
          <w:rFonts w:hint="eastAsia" w:ascii="宋体" w:hAnsi="宋体" w:cs="宋体"/>
          <w:b/>
          <w:color w:val="auto"/>
          <w:szCs w:val="21"/>
          <w:highlight w:val="none"/>
        </w:rPr>
      </w:pPr>
    </w:p>
    <w:p w14:paraId="00030C6B">
      <w:pPr>
        <w:rPr>
          <w:color w:val="auto"/>
          <w:highlight w:val="none"/>
        </w:rPr>
      </w:pPr>
    </w:p>
    <w:p w14:paraId="2E2D3087">
      <w:pPr>
        <w:keepNext/>
        <w:spacing w:line="360" w:lineRule="auto"/>
        <w:rPr>
          <w:rFonts w:hint="eastAsia" w:ascii="宋体" w:hAnsi="宋体" w:cs="宋体"/>
          <w:b/>
          <w:color w:val="auto"/>
          <w:sz w:val="24"/>
          <w:highlight w:val="none"/>
        </w:rPr>
      </w:pPr>
      <w:r>
        <w:rPr>
          <w:rFonts w:hint="eastAsia" w:ascii="宋体" w:hAnsi="宋体" w:cs="宋体"/>
          <w:b/>
          <w:color w:val="auto"/>
          <w:sz w:val="24"/>
          <w:highlight w:val="none"/>
        </w:rPr>
        <w:t>三、商务要求（</w:t>
      </w:r>
      <w:r>
        <w:rPr>
          <w:rFonts w:hint="eastAsia" w:ascii="宋体" w:hAnsi="宋体" w:cs="宋体"/>
          <w:b/>
          <w:color w:val="auto"/>
          <w:sz w:val="24"/>
          <w:highlight w:val="none"/>
          <w:lang w:eastAsia="zh-Hans"/>
        </w:rPr>
        <w:t>本项</w:t>
      </w:r>
      <w:r>
        <w:rPr>
          <w:rFonts w:hint="eastAsia" w:ascii="宋体" w:hAnsi="宋体" w:cs="宋体"/>
          <w:b/>
          <w:color w:val="auto"/>
          <w:sz w:val="24"/>
          <w:highlight w:val="none"/>
        </w:rPr>
        <w:t>要求应在商务应答表中进行应答）</w:t>
      </w:r>
    </w:p>
    <w:p w14:paraId="6BBC1130">
      <w:pPr>
        <w:keepNext/>
        <w:spacing w:line="360" w:lineRule="auto"/>
        <w:ind w:left="482" w:hanging="482" w:hangingChars="200"/>
        <w:rPr>
          <w:rFonts w:hint="eastAsia" w:ascii="宋体" w:hAnsi="宋体" w:cs="宋体"/>
          <w:b/>
          <w:color w:val="auto"/>
          <w:kern w:val="0"/>
          <w:sz w:val="24"/>
          <w:highlight w:val="none"/>
        </w:rPr>
      </w:pPr>
      <w:r>
        <w:rPr>
          <w:rFonts w:hint="eastAsia" w:ascii="宋体" w:hAnsi="宋体" w:cs="宋体"/>
          <w:b/>
          <w:color w:val="auto"/>
          <w:kern w:val="0"/>
          <w:sz w:val="24"/>
          <w:highlight w:val="none"/>
        </w:rPr>
        <w:t>★（一）项目履约时间、地点：</w:t>
      </w:r>
    </w:p>
    <w:p w14:paraId="1722CD1E">
      <w:pPr>
        <w:keepNext/>
        <w:spacing w:line="360" w:lineRule="auto"/>
        <w:ind w:firstLine="420"/>
        <w:rPr>
          <w:rFonts w:hint="eastAsia" w:ascii="宋体" w:hAnsi="宋体" w:cs="宋体"/>
          <w:bCs/>
          <w:color w:val="auto"/>
          <w:sz w:val="24"/>
          <w:highlight w:val="none"/>
        </w:rPr>
      </w:pPr>
      <w:r>
        <w:rPr>
          <w:rFonts w:hint="eastAsia" w:ascii="宋体" w:hAnsi="宋体" w:cs="宋体"/>
          <w:bCs/>
          <w:color w:val="auto"/>
          <w:sz w:val="24"/>
          <w:highlight w:val="none"/>
        </w:rPr>
        <w:t>1.</w:t>
      </w:r>
      <w:r>
        <w:rPr>
          <w:rFonts w:hint="eastAsia" w:ascii="宋体" w:hAnsi="宋体" w:cs="宋体"/>
          <w:color w:val="auto"/>
          <w:kern w:val="0"/>
          <w:sz w:val="24"/>
          <w:highlight w:val="none"/>
        </w:rPr>
        <w:t>项目履约时间：</w:t>
      </w:r>
      <w:r>
        <w:rPr>
          <w:rFonts w:ascii="宋体" w:hAnsi="宋体" w:cs="宋体"/>
          <w:bCs/>
          <w:color w:val="auto"/>
          <w:sz w:val="24"/>
          <w:highlight w:val="none"/>
        </w:rPr>
        <w:t>合同签订之日起60天内交货</w:t>
      </w:r>
      <w:r>
        <w:rPr>
          <w:rFonts w:hint="eastAsia" w:ascii="宋体" w:hAnsi="宋体" w:cs="宋体"/>
          <w:bCs/>
          <w:color w:val="auto"/>
          <w:sz w:val="24"/>
          <w:highlight w:val="none"/>
        </w:rPr>
        <w:t>。</w:t>
      </w:r>
    </w:p>
    <w:p w14:paraId="6B44708F">
      <w:pPr>
        <w:keepNext/>
        <w:spacing w:line="360" w:lineRule="auto"/>
        <w:ind w:firstLine="420"/>
        <w:rPr>
          <w:rFonts w:hint="eastAsia" w:ascii="宋体" w:hAnsi="宋体" w:cs="宋体"/>
          <w:bCs/>
          <w:color w:val="auto"/>
          <w:sz w:val="24"/>
          <w:highlight w:val="none"/>
        </w:rPr>
      </w:pPr>
      <w:r>
        <w:rPr>
          <w:rFonts w:hint="eastAsia" w:ascii="宋体" w:hAnsi="宋体" w:cs="宋体"/>
          <w:bCs/>
          <w:color w:val="auto"/>
          <w:sz w:val="24"/>
          <w:highlight w:val="none"/>
        </w:rPr>
        <w:t>2.</w:t>
      </w:r>
      <w:r>
        <w:rPr>
          <w:rFonts w:hint="eastAsia" w:ascii="宋体" w:hAnsi="宋体" w:cs="宋体"/>
          <w:color w:val="auto"/>
          <w:kern w:val="0"/>
          <w:sz w:val="24"/>
          <w:highlight w:val="none"/>
        </w:rPr>
        <w:t>项目履约地点：</w:t>
      </w:r>
      <w:r>
        <w:rPr>
          <w:rFonts w:ascii="宋体" w:hAnsi="宋体" w:cs="宋体"/>
          <w:bCs/>
          <w:color w:val="auto"/>
          <w:sz w:val="24"/>
          <w:highlight w:val="none"/>
        </w:rPr>
        <w:t>西南交通大学九里校区原子级制造研究中心</w:t>
      </w:r>
      <w:r>
        <w:rPr>
          <w:rFonts w:hint="eastAsia" w:ascii="宋体" w:hAnsi="宋体" w:cs="宋体"/>
          <w:bCs/>
          <w:color w:val="auto"/>
          <w:sz w:val="24"/>
          <w:highlight w:val="none"/>
        </w:rPr>
        <w:t>。</w:t>
      </w:r>
    </w:p>
    <w:p w14:paraId="6B1548E8">
      <w:pPr>
        <w:keepNext/>
        <w:spacing w:line="360" w:lineRule="auto"/>
        <w:ind w:firstLine="420"/>
        <w:rPr>
          <w:rFonts w:hint="eastAsia" w:ascii="宋体" w:hAnsi="宋体" w:cs="宋体"/>
          <w:bCs/>
          <w:color w:val="auto"/>
          <w:sz w:val="24"/>
          <w:highlight w:val="none"/>
        </w:rPr>
      </w:pPr>
    </w:p>
    <w:p w14:paraId="7F5BA7C3">
      <w:pPr>
        <w:keepNext/>
        <w:spacing w:line="360" w:lineRule="auto"/>
        <w:rPr>
          <w:rFonts w:hint="eastAsia" w:ascii="宋体" w:hAnsi="宋体" w:cs="宋体"/>
          <w:bCs/>
          <w:color w:val="auto"/>
          <w:sz w:val="24"/>
          <w:highlight w:val="none"/>
        </w:rPr>
      </w:pPr>
      <w:r>
        <w:rPr>
          <w:rFonts w:hint="eastAsia" w:ascii="宋体" w:hAnsi="宋体" w:cs="宋体"/>
          <w:b/>
          <w:color w:val="auto"/>
          <w:kern w:val="0"/>
          <w:sz w:val="24"/>
          <w:highlight w:val="none"/>
        </w:rPr>
        <w:t>★（二）</w:t>
      </w:r>
      <w:r>
        <w:rPr>
          <w:rFonts w:hint="eastAsia" w:ascii="宋体" w:hAnsi="宋体" w:cs="宋体"/>
          <w:b/>
          <w:color w:val="auto"/>
          <w:sz w:val="24"/>
          <w:highlight w:val="none"/>
        </w:rPr>
        <w:t>付款方式：</w:t>
      </w:r>
    </w:p>
    <w:p w14:paraId="2D4CD81B">
      <w:pPr>
        <w:keepNext/>
        <w:spacing w:line="360" w:lineRule="auto"/>
        <w:ind w:firstLine="420"/>
        <w:rPr>
          <w:rFonts w:hint="eastAsia" w:ascii="宋体" w:hAnsi="宋体" w:cs="宋体"/>
          <w:color w:val="auto"/>
          <w:kern w:val="0"/>
          <w:sz w:val="24"/>
          <w:highlight w:val="none"/>
        </w:rPr>
      </w:pPr>
      <w:r>
        <w:rPr>
          <w:rFonts w:hint="eastAsia" w:ascii="宋体" w:hAnsi="宋体" w:cs="宋体"/>
          <w:color w:val="auto"/>
          <w:kern w:val="0"/>
          <w:sz w:val="24"/>
          <w:highlight w:val="none"/>
        </w:rPr>
        <w:t>1.分期付款</w:t>
      </w:r>
    </w:p>
    <w:p w14:paraId="4FCBDBB8">
      <w:pPr>
        <w:keepNext/>
        <w:spacing w:line="360" w:lineRule="auto"/>
        <w:ind w:firstLine="420"/>
        <w:rPr>
          <w:rFonts w:hint="eastAsia" w:ascii="宋体" w:hAnsi="宋体" w:cs="宋体"/>
          <w:color w:val="auto"/>
          <w:kern w:val="0"/>
          <w:sz w:val="24"/>
          <w:highlight w:val="none"/>
        </w:rPr>
      </w:pPr>
      <w:r>
        <w:rPr>
          <w:rFonts w:hint="eastAsia" w:ascii="宋体" w:hAnsi="宋体" w:cs="宋体"/>
          <w:color w:val="auto"/>
          <w:kern w:val="0"/>
          <w:sz w:val="24"/>
          <w:highlight w:val="none"/>
        </w:rPr>
        <w:t>第一期：合同生效且供应商提交履约保证金后，预付合同金额的85%；</w:t>
      </w:r>
    </w:p>
    <w:p w14:paraId="7376B278">
      <w:pPr>
        <w:keepNext/>
        <w:spacing w:line="360" w:lineRule="auto"/>
        <w:ind w:firstLine="420"/>
        <w:rPr>
          <w:rFonts w:hint="eastAsia" w:ascii="宋体" w:hAnsi="宋体" w:cs="宋体"/>
          <w:color w:val="auto"/>
          <w:kern w:val="0"/>
          <w:sz w:val="24"/>
          <w:highlight w:val="none"/>
        </w:rPr>
      </w:pPr>
      <w:r>
        <w:rPr>
          <w:rFonts w:hint="eastAsia" w:ascii="宋体" w:hAnsi="宋体" w:cs="宋体"/>
          <w:color w:val="auto"/>
          <w:kern w:val="0"/>
          <w:sz w:val="24"/>
          <w:highlight w:val="none"/>
        </w:rPr>
        <w:t>第二期：项目验收合格后，支付合同金额的15%；</w:t>
      </w:r>
    </w:p>
    <w:p w14:paraId="615DF50C">
      <w:pPr>
        <w:keepNext/>
        <w:spacing w:line="360" w:lineRule="auto"/>
        <w:ind w:firstLine="420"/>
        <w:rPr>
          <w:rFonts w:hint="eastAsia" w:ascii="宋体" w:hAnsi="宋体" w:cs="宋体"/>
          <w:color w:val="auto"/>
          <w:kern w:val="0"/>
          <w:sz w:val="24"/>
          <w:highlight w:val="none"/>
        </w:rPr>
      </w:pPr>
      <w:r>
        <w:rPr>
          <w:rFonts w:hint="eastAsia" w:ascii="宋体" w:hAnsi="宋体" w:cs="宋体"/>
          <w:color w:val="auto"/>
          <w:kern w:val="0"/>
          <w:sz w:val="24"/>
          <w:highlight w:val="none"/>
        </w:rPr>
        <w:t>2.每次付款前，供应商应出具等额增值税专用发票，发票与合同的银行账户信息应保持一致。</w:t>
      </w:r>
    </w:p>
    <w:p w14:paraId="6A893C58">
      <w:pPr>
        <w:keepNext/>
        <w:spacing w:line="360" w:lineRule="auto"/>
        <w:rPr>
          <w:rFonts w:hint="eastAsia" w:ascii="宋体" w:hAnsi="宋体" w:cs="宋体"/>
          <w:color w:val="auto"/>
          <w:kern w:val="0"/>
          <w:sz w:val="24"/>
          <w:highlight w:val="none"/>
        </w:rPr>
      </w:pPr>
    </w:p>
    <w:p w14:paraId="420E7C6D">
      <w:pPr>
        <w:keepNext/>
        <w:spacing w:line="360" w:lineRule="auto"/>
        <w:rPr>
          <w:rFonts w:hint="eastAsia" w:ascii="宋体" w:hAnsi="宋体" w:cs="宋体"/>
          <w:b/>
          <w:color w:val="auto"/>
          <w:kern w:val="0"/>
          <w:sz w:val="24"/>
          <w:highlight w:val="none"/>
        </w:rPr>
      </w:pPr>
      <w:r>
        <w:rPr>
          <w:rFonts w:hint="eastAsia" w:ascii="宋体" w:hAnsi="宋体" w:cs="宋体"/>
          <w:b/>
          <w:color w:val="auto"/>
          <w:kern w:val="0"/>
          <w:sz w:val="24"/>
          <w:highlight w:val="none"/>
        </w:rPr>
        <w:t>★（三）</w:t>
      </w:r>
      <w:r>
        <w:rPr>
          <w:b/>
          <w:color w:val="auto"/>
          <w:sz w:val="24"/>
          <w:highlight w:val="none"/>
        </w:rPr>
        <w:t>验收方法和标准</w:t>
      </w:r>
      <w:r>
        <w:rPr>
          <w:rFonts w:hint="eastAsia"/>
          <w:b/>
          <w:color w:val="auto"/>
          <w:sz w:val="24"/>
          <w:highlight w:val="none"/>
        </w:rPr>
        <w:t>：</w:t>
      </w:r>
    </w:p>
    <w:p w14:paraId="56ADB127">
      <w:pPr>
        <w:keepNext/>
        <w:spacing w:line="360" w:lineRule="auto"/>
        <w:ind w:firstLine="420"/>
        <w:rPr>
          <w:rFonts w:hint="eastAsia" w:ascii="宋体" w:hAnsi="宋体" w:cs="宋体"/>
          <w:color w:val="auto"/>
          <w:kern w:val="0"/>
          <w:sz w:val="24"/>
          <w:highlight w:val="none"/>
        </w:rPr>
      </w:pPr>
      <w:r>
        <w:rPr>
          <w:rFonts w:hint="eastAsia" w:ascii="宋体" w:hAnsi="宋体" w:cs="宋体"/>
          <w:color w:val="auto"/>
          <w:kern w:val="0"/>
          <w:sz w:val="24"/>
          <w:highlight w:val="none"/>
        </w:rPr>
        <w:t>1.货物到达现场后，供应商应在采购人在场情况下当面开包，共同清点、检查外观，作出验货记录，双方签字确认后开始安装调试。</w:t>
      </w:r>
    </w:p>
    <w:p w14:paraId="63938936">
      <w:pPr>
        <w:keepNext/>
        <w:spacing w:line="360" w:lineRule="auto"/>
        <w:ind w:firstLine="420"/>
        <w:rPr>
          <w:rFonts w:hint="eastAsia" w:ascii="宋体" w:hAnsi="宋体" w:cs="宋体"/>
          <w:color w:val="auto"/>
          <w:kern w:val="0"/>
          <w:sz w:val="24"/>
          <w:highlight w:val="none"/>
        </w:rPr>
      </w:pPr>
      <w:r>
        <w:rPr>
          <w:rFonts w:hint="eastAsia" w:ascii="宋体" w:hAnsi="宋体" w:cs="宋体"/>
          <w:color w:val="auto"/>
          <w:kern w:val="0"/>
          <w:sz w:val="24"/>
          <w:highlight w:val="none"/>
        </w:rPr>
        <w:t>2.中标（成交）供应商应保证货物到达采购人所在地完好无损，如有缺漏、损坏，由供应商负责调换、补齐或赔偿。</w:t>
      </w:r>
    </w:p>
    <w:p w14:paraId="4E5B944A">
      <w:pPr>
        <w:keepNext/>
        <w:spacing w:line="360" w:lineRule="auto"/>
        <w:ind w:firstLine="420"/>
        <w:rPr>
          <w:rFonts w:hint="eastAsia" w:ascii="宋体" w:hAnsi="宋体" w:cs="宋体"/>
          <w:color w:val="auto"/>
          <w:kern w:val="0"/>
          <w:sz w:val="24"/>
          <w:highlight w:val="none"/>
        </w:rPr>
      </w:pPr>
      <w:r>
        <w:rPr>
          <w:rFonts w:hint="eastAsia" w:ascii="宋体" w:hAnsi="宋体" w:cs="宋体"/>
          <w:color w:val="auto"/>
          <w:kern w:val="0"/>
          <w:sz w:val="24"/>
          <w:highlight w:val="none"/>
        </w:rPr>
        <w:t>3.中标（成交）供应商应提供完备的技术资料、装箱单、授权文件或生产厂商提供的原厂正品出货证明材料（非装箱清单组成材料）等，并派遣专业技术人员进行现场部署调试。验收合格条件如下：</w:t>
      </w:r>
    </w:p>
    <w:p w14:paraId="63E75979">
      <w:pPr>
        <w:keepNext/>
        <w:spacing w:line="360" w:lineRule="auto"/>
        <w:ind w:firstLine="420"/>
        <w:rPr>
          <w:rFonts w:hint="eastAsia" w:ascii="宋体" w:hAnsi="宋体" w:cs="宋体"/>
          <w:color w:val="auto"/>
          <w:kern w:val="0"/>
          <w:sz w:val="24"/>
          <w:highlight w:val="none"/>
        </w:rPr>
      </w:pPr>
      <w:r>
        <w:rPr>
          <w:rFonts w:hint="eastAsia" w:ascii="宋体" w:hAnsi="宋体" w:cs="宋体"/>
          <w:color w:val="auto"/>
          <w:kern w:val="0"/>
          <w:sz w:val="24"/>
          <w:highlight w:val="none"/>
        </w:rPr>
        <w:t>（1）产品技术参数与采购合同一致，性能指标达到规定的标准；</w:t>
      </w:r>
    </w:p>
    <w:p w14:paraId="474C8BEB">
      <w:pPr>
        <w:keepNext/>
        <w:spacing w:line="360" w:lineRule="auto"/>
        <w:ind w:firstLine="420"/>
        <w:rPr>
          <w:rFonts w:hint="eastAsia" w:ascii="宋体" w:hAnsi="宋体" w:cs="宋体"/>
          <w:color w:val="auto"/>
          <w:kern w:val="0"/>
          <w:sz w:val="24"/>
          <w:highlight w:val="none"/>
        </w:rPr>
      </w:pPr>
      <w:r>
        <w:rPr>
          <w:rFonts w:hint="eastAsia" w:ascii="宋体" w:hAnsi="宋体" w:cs="宋体"/>
          <w:color w:val="auto"/>
          <w:kern w:val="0"/>
          <w:sz w:val="24"/>
          <w:highlight w:val="none"/>
        </w:rPr>
        <w:t>（2）产品技术资料、装箱单、授权文件或生产厂商提供的原厂正品出货证明材料等资料齐全；</w:t>
      </w:r>
    </w:p>
    <w:p w14:paraId="0C82BDD7">
      <w:pPr>
        <w:keepNext/>
        <w:spacing w:line="360" w:lineRule="auto"/>
        <w:ind w:firstLine="420"/>
        <w:rPr>
          <w:rFonts w:hint="eastAsia" w:ascii="宋体" w:hAnsi="宋体" w:cs="宋体"/>
          <w:color w:val="auto"/>
          <w:kern w:val="0"/>
          <w:sz w:val="24"/>
          <w:highlight w:val="none"/>
        </w:rPr>
      </w:pPr>
      <w:r>
        <w:rPr>
          <w:rFonts w:hint="eastAsia" w:ascii="宋体" w:hAnsi="宋体" w:cs="宋体"/>
          <w:color w:val="auto"/>
          <w:kern w:val="0"/>
          <w:sz w:val="24"/>
          <w:highlight w:val="none"/>
        </w:rPr>
        <w:t>（3）在产品（系统）试运行期间所出现的问题得到解决，并运行正常；</w:t>
      </w:r>
    </w:p>
    <w:p w14:paraId="75AE8F41">
      <w:pPr>
        <w:keepNext/>
        <w:spacing w:line="360" w:lineRule="auto"/>
        <w:ind w:firstLine="420"/>
        <w:rPr>
          <w:rFonts w:hint="eastAsia" w:ascii="宋体" w:hAnsi="宋体" w:cs="宋体"/>
          <w:color w:val="auto"/>
          <w:kern w:val="0"/>
          <w:sz w:val="24"/>
          <w:highlight w:val="none"/>
        </w:rPr>
      </w:pPr>
      <w:r>
        <w:rPr>
          <w:rFonts w:hint="eastAsia" w:ascii="宋体" w:hAnsi="宋体" w:cs="宋体"/>
          <w:color w:val="auto"/>
          <w:kern w:val="0"/>
          <w:sz w:val="24"/>
          <w:highlight w:val="none"/>
        </w:rPr>
        <w:t>（4）在规定时间内完成交货并验收，并经采购人确认。</w:t>
      </w:r>
    </w:p>
    <w:p w14:paraId="3837048D">
      <w:pPr>
        <w:keepNext/>
        <w:spacing w:line="360" w:lineRule="auto"/>
        <w:ind w:firstLine="420"/>
        <w:rPr>
          <w:rFonts w:hint="eastAsia" w:ascii="宋体" w:hAnsi="宋体" w:cs="宋体"/>
          <w:color w:val="auto"/>
          <w:kern w:val="0"/>
          <w:sz w:val="24"/>
          <w:highlight w:val="none"/>
        </w:rPr>
      </w:pPr>
      <w:r>
        <w:rPr>
          <w:rFonts w:hint="eastAsia" w:ascii="宋体" w:hAnsi="宋体" w:cs="宋体"/>
          <w:color w:val="auto"/>
          <w:kern w:val="0"/>
          <w:sz w:val="24"/>
          <w:highlight w:val="none"/>
        </w:rPr>
        <w:t>4.产品在部署调试并试运行符合要求后，才作为最终验收。</w:t>
      </w:r>
    </w:p>
    <w:p w14:paraId="1A833768">
      <w:pPr>
        <w:keepNext/>
        <w:spacing w:line="360" w:lineRule="auto"/>
        <w:ind w:firstLine="420"/>
        <w:rPr>
          <w:rFonts w:hint="eastAsia" w:ascii="宋体" w:hAnsi="宋体" w:cs="宋体"/>
          <w:color w:val="auto"/>
          <w:kern w:val="0"/>
          <w:sz w:val="24"/>
          <w:highlight w:val="none"/>
        </w:rPr>
      </w:pPr>
      <w:r>
        <w:rPr>
          <w:rFonts w:hint="eastAsia" w:ascii="宋体" w:hAnsi="宋体" w:cs="宋体"/>
          <w:color w:val="auto"/>
          <w:kern w:val="0"/>
          <w:sz w:val="24"/>
          <w:highlight w:val="none"/>
        </w:rPr>
        <w:t>5.采购人对供应商交付的产品（包括质量、技术参数等）进行确认，并出具书面验收意见。</w:t>
      </w:r>
    </w:p>
    <w:p w14:paraId="3F0521A3">
      <w:pPr>
        <w:keepNext/>
        <w:spacing w:line="360" w:lineRule="auto"/>
        <w:ind w:firstLine="420"/>
        <w:rPr>
          <w:rFonts w:hint="eastAsia" w:ascii="宋体" w:hAnsi="宋体" w:cs="宋体"/>
          <w:color w:val="auto"/>
          <w:kern w:val="0"/>
          <w:sz w:val="24"/>
          <w:highlight w:val="none"/>
        </w:rPr>
      </w:pPr>
    </w:p>
    <w:p w14:paraId="75B55CFC">
      <w:pPr>
        <w:keepNext/>
        <w:spacing w:line="360" w:lineRule="auto"/>
        <w:ind w:firstLine="420"/>
        <w:rPr>
          <w:rFonts w:hint="eastAsia" w:ascii="宋体" w:hAnsi="宋体" w:cs="宋体"/>
          <w:color w:val="auto"/>
          <w:kern w:val="0"/>
          <w:sz w:val="24"/>
          <w:highlight w:val="none"/>
        </w:rPr>
      </w:pPr>
    </w:p>
    <w:p w14:paraId="37396F83">
      <w:pPr>
        <w:keepNext/>
        <w:spacing w:line="360" w:lineRule="auto"/>
        <w:rPr>
          <w:rFonts w:hint="eastAsia" w:ascii="宋体" w:hAnsi="宋体" w:cs="宋体"/>
          <w:b/>
          <w:bCs/>
          <w:color w:val="auto"/>
          <w:sz w:val="24"/>
          <w:highlight w:val="none"/>
        </w:rPr>
      </w:pPr>
      <w:r>
        <w:rPr>
          <w:rFonts w:hint="eastAsia" w:ascii="宋体" w:hAnsi="宋体" w:cs="宋体"/>
          <w:b/>
          <w:bCs/>
          <w:color w:val="auto"/>
          <w:sz w:val="24"/>
          <w:highlight w:val="none"/>
        </w:rPr>
        <w:t>1.本节商务要求中，如各产品有特殊要求的，以各产品要求为准。</w:t>
      </w:r>
    </w:p>
    <w:p w14:paraId="47BC4BA5">
      <w:pPr>
        <w:keepNext/>
        <w:spacing w:line="360" w:lineRule="auto"/>
        <w:rPr>
          <w:rFonts w:hint="eastAsia" w:ascii="宋体" w:hAnsi="宋体" w:cs="宋体"/>
          <w:b/>
          <w:color w:val="auto"/>
          <w:sz w:val="24"/>
          <w:highlight w:val="none"/>
        </w:rPr>
      </w:pPr>
      <w:r>
        <w:rPr>
          <w:rFonts w:hint="eastAsia" w:ascii="宋体" w:hAnsi="宋体" w:cs="宋体"/>
          <w:b/>
          <w:bCs/>
          <w:color w:val="auto"/>
          <w:sz w:val="24"/>
          <w:highlight w:val="none"/>
        </w:rPr>
        <w:t>2.项目要求中如列明品牌型号的，均为参考。投标人所投产品技术不低于所列品牌型号即可。</w:t>
      </w:r>
    </w:p>
    <w:p w14:paraId="24D03440">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673644"/>
    <w:multiLevelType w:val="singleLevel"/>
    <w:tmpl w:val="FD673644"/>
    <w:lvl w:ilvl="0" w:tentative="0">
      <w:start w:val="1"/>
      <w:numFmt w:val="chineseCounting"/>
      <w:suff w:val="nothing"/>
      <w:lvlText w:val="%1、"/>
      <w:lvlJc w:val="left"/>
      <w:rPr>
        <w:rFonts w:hint="eastAsia"/>
        <w:color w:val="auto"/>
      </w:rPr>
    </w:lvl>
  </w:abstractNum>
  <w:abstractNum w:abstractNumId="1">
    <w:nsid w:val="1D6053EC"/>
    <w:multiLevelType w:val="singleLevel"/>
    <w:tmpl w:val="1D6053EC"/>
    <w:lvl w:ilvl="0" w:tentative="0">
      <w:start w:val="7"/>
      <w:numFmt w:val="decimal"/>
      <w:suff w:val="nothing"/>
      <w:lvlText w:val="%1、"/>
      <w:lvlJc w:val="left"/>
    </w:lvl>
  </w:abstractNum>
  <w:abstractNum w:abstractNumId="2">
    <w:nsid w:val="5149C5C7"/>
    <w:multiLevelType w:val="singleLevel"/>
    <w:tmpl w:val="5149C5C7"/>
    <w:lvl w:ilvl="0" w:tentative="0">
      <w:start w:val="2"/>
      <w:numFmt w:val="chineseCounting"/>
      <w:suff w:val="nothing"/>
      <w:lvlText w:val="（%1）"/>
      <w:lvlJc w:val="left"/>
      <w:rPr>
        <w:rFonts w:hint="eastAsia"/>
      </w:rPr>
    </w:lvl>
  </w:abstractNum>
  <w:abstractNum w:abstractNumId="3">
    <w:nsid w:val="567FD42A"/>
    <w:multiLevelType w:val="singleLevel"/>
    <w:tmpl w:val="567FD42A"/>
    <w:lvl w:ilvl="0" w:tentative="0">
      <w:start w:val="1"/>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0305E1"/>
    <w:rsid w:val="020305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样式1"/>
    <w:basedOn w:val="2"/>
    <w:qFormat/>
    <w:uiPriority w:val="0"/>
    <w:pPr>
      <w:spacing w:before="120" w:after="120"/>
      <w:jc w:val="center"/>
    </w:pPr>
    <w:rPr>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航空工业</Company>
  <Pages>9</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2026-09-22T07:53:00Z</dcterms:created>
  <dc:creator>Athena</dc:creator>
  <cp:lastModifiedBy>Athena</cp:lastModifiedBy>
  <dcterms:modified xsi:type="dcterms:W3CDTF">2026-09-22T07:53:45Z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D556C0D2501D4F3DA0C641E45A4F0581_11</vt:lpwstr>
  </property>
  <property fmtid="{D5CDD505-2E9C-101B-9397-08002B2CF9AE}" pid="4" name="KSOTemplateDocerSaveRecord">
    <vt:lpwstr>eyJoZGlkIjoiODJkYTYxYTkxMDJjOTFjNWEyZTRhMDAzMTMyNTRiNDMiLCJ1c2VySWQiOiIzNzAyNzk5MDEifQ==</vt:lpwstr>
  </property>
</Properties>
</file>