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A7371">
      <w:pPr>
        <w:spacing w:line="360" w:lineRule="auto"/>
        <w:jc w:val="center"/>
        <w:outlineLvl w:val="0"/>
        <w:rPr>
          <w:b/>
        </w:rPr>
      </w:pPr>
      <w:r>
        <w:rPr>
          <w:rFonts w:hint="eastAsia" w:ascii="宋体" w:hAnsi="宋体"/>
          <w:b/>
          <w:bCs/>
          <w:kern w:val="0"/>
          <w:sz w:val="36"/>
          <w:szCs w:val="36"/>
        </w:rPr>
        <w:t xml:space="preserve">第四章 </w:t>
      </w:r>
      <w:r>
        <w:rPr>
          <w:rFonts w:ascii="宋体" w:hAnsi="宋体"/>
          <w:b/>
          <w:bCs/>
          <w:kern w:val="0"/>
          <w:sz w:val="36"/>
          <w:szCs w:val="36"/>
        </w:rPr>
        <w:t xml:space="preserve"> </w:t>
      </w:r>
      <w:r>
        <w:rPr>
          <w:rFonts w:hint="eastAsia" w:ascii="宋体" w:hAnsi="宋体"/>
          <w:b/>
          <w:bCs/>
          <w:kern w:val="0"/>
          <w:sz w:val="36"/>
          <w:szCs w:val="36"/>
        </w:rPr>
        <w:t>项目需求</w:t>
      </w:r>
    </w:p>
    <w:p w14:paraId="7B8BB7AC">
      <w:pPr>
        <w:pStyle w:val="2"/>
        <w:spacing w:line="360" w:lineRule="auto"/>
        <w:rPr>
          <w:rFonts w:hint="eastAsia"/>
          <w:b/>
        </w:rPr>
      </w:pPr>
    </w:p>
    <w:p w14:paraId="3A124AFA">
      <w:pPr>
        <w:keepNext/>
        <w:keepLines/>
        <w:spacing w:line="360" w:lineRule="auto"/>
        <w:jc w:val="center"/>
        <w:rPr>
          <w:sz w:val="32"/>
          <w:szCs w:val="32"/>
        </w:rPr>
      </w:pPr>
      <w:r>
        <w:rPr>
          <w:rFonts w:hint="eastAsia"/>
          <w:b/>
          <w:color w:val="000000"/>
          <w:sz w:val="30"/>
          <w:szCs w:val="30"/>
        </w:rPr>
        <w:t>微纳加工设备线上验证基础工艺</w:t>
      </w:r>
      <w:r>
        <w:rPr>
          <w:b/>
          <w:color w:val="000000"/>
          <w:sz w:val="30"/>
          <w:szCs w:val="30"/>
        </w:rPr>
        <w:t>开发</w:t>
      </w:r>
    </w:p>
    <w:p w14:paraId="6AD33EA5">
      <w:pPr>
        <w:spacing w:line="360" w:lineRule="auto"/>
        <w:rPr>
          <w:rFonts w:hint="eastAsia" w:ascii="宋体" w:hAnsi="宋体" w:cs="宋体"/>
          <w:b/>
          <w:sz w:val="24"/>
        </w:rPr>
      </w:pPr>
      <w:r>
        <w:rPr>
          <w:rFonts w:hint="eastAsia" w:ascii="宋体" w:hAnsi="宋体" w:cs="宋体"/>
          <w:b/>
          <w:sz w:val="24"/>
        </w:rPr>
        <w:t>一、项目名称</w:t>
      </w:r>
    </w:p>
    <w:p w14:paraId="45173A60">
      <w:pPr>
        <w:pStyle w:val="9"/>
        <w:spacing w:line="360" w:lineRule="auto"/>
        <w:ind w:firstLine="480"/>
        <w:rPr>
          <w:rFonts w:hint="eastAsia" w:ascii="宋体" w:hAnsi="宋体" w:cs="宋体"/>
          <w:b/>
        </w:rPr>
      </w:pPr>
      <w:r>
        <w:rPr>
          <w:rFonts w:hint="eastAsia" w:ascii="宋体" w:hAnsi="宋体" w:cs="宋体"/>
          <w:bCs/>
        </w:rPr>
        <w:t>微纳加工设备线上验证基础工艺</w:t>
      </w:r>
      <w:r>
        <w:rPr>
          <w:rFonts w:ascii="宋体" w:hAnsi="宋体" w:cs="宋体"/>
          <w:bCs/>
        </w:rPr>
        <w:t>开发</w:t>
      </w:r>
    </w:p>
    <w:p w14:paraId="27274739">
      <w:pPr>
        <w:spacing w:line="360" w:lineRule="auto"/>
        <w:rPr>
          <w:rFonts w:hint="eastAsia" w:ascii="宋体" w:hAnsi="宋体" w:cs="宋体"/>
          <w:b/>
          <w:sz w:val="24"/>
        </w:rPr>
      </w:pPr>
      <w:r>
        <w:rPr>
          <w:rFonts w:hint="eastAsia" w:ascii="宋体" w:hAnsi="宋体" w:cs="宋体"/>
          <w:b/>
          <w:sz w:val="24"/>
        </w:rPr>
        <w:t>二、服务期限</w:t>
      </w:r>
    </w:p>
    <w:p w14:paraId="28E42116">
      <w:pPr>
        <w:spacing w:line="360" w:lineRule="auto"/>
        <w:ind w:firstLine="480" w:firstLineChars="200"/>
        <w:rPr>
          <w:rFonts w:hint="eastAsia" w:ascii="宋体" w:hAnsi="宋体" w:cs="宋体"/>
          <w:sz w:val="24"/>
        </w:rPr>
      </w:pPr>
      <w:r>
        <w:rPr>
          <w:rFonts w:hint="eastAsia" w:ascii="宋体" w:hAnsi="宋体" w:cs="宋体"/>
          <w:sz w:val="24"/>
        </w:rPr>
        <w:t>自合同签订生效起至2</w:t>
      </w:r>
      <w:r>
        <w:rPr>
          <w:rFonts w:ascii="宋体" w:hAnsi="宋体" w:cs="宋体"/>
          <w:sz w:val="24"/>
        </w:rPr>
        <w:t>027</w:t>
      </w:r>
      <w:r>
        <w:rPr>
          <w:rFonts w:hint="eastAsia" w:ascii="宋体" w:hAnsi="宋体" w:cs="宋体"/>
          <w:sz w:val="24"/>
        </w:rPr>
        <w:t>年1</w:t>
      </w:r>
      <w:r>
        <w:rPr>
          <w:rFonts w:ascii="宋体" w:hAnsi="宋体" w:cs="宋体"/>
          <w:sz w:val="24"/>
        </w:rPr>
        <w:t>2</w:t>
      </w:r>
      <w:r>
        <w:rPr>
          <w:rFonts w:hint="eastAsia" w:ascii="宋体" w:hAnsi="宋体" w:cs="宋体"/>
          <w:sz w:val="24"/>
        </w:rPr>
        <w:t>月</w:t>
      </w:r>
      <w:r>
        <w:rPr>
          <w:rFonts w:ascii="宋体" w:hAnsi="宋体" w:cs="宋体"/>
          <w:sz w:val="24"/>
        </w:rPr>
        <w:t>1</w:t>
      </w:r>
      <w:r>
        <w:rPr>
          <w:rFonts w:hint="eastAsia" w:ascii="宋体" w:hAnsi="宋体" w:cs="宋体"/>
          <w:sz w:val="24"/>
        </w:rPr>
        <w:t>日。</w:t>
      </w:r>
    </w:p>
    <w:p w14:paraId="52D6187E">
      <w:pPr>
        <w:spacing w:line="360" w:lineRule="auto"/>
        <w:rPr>
          <w:rFonts w:hint="eastAsia" w:ascii="宋体" w:hAnsi="宋体" w:cs="宋体"/>
          <w:sz w:val="24"/>
        </w:rPr>
      </w:pPr>
    </w:p>
    <w:p w14:paraId="7A7668E5">
      <w:pPr>
        <w:numPr>
          <w:ilvl w:val="0"/>
          <w:numId w:val="1"/>
        </w:numPr>
        <w:autoSpaceDE w:val="0"/>
        <w:autoSpaceDN w:val="0"/>
        <w:adjustRightInd w:val="0"/>
        <w:spacing w:line="360" w:lineRule="auto"/>
        <w:rPr>
          <w:rFonts w:hint="eastAsia" w:ascii="宋体" w:hAnsi="宋体" w:cs="宋体"/>
          <w:b/>
          <w:sz w:val="24"/>
        </w:rPr>
      </w:pPr>
      <w:r>
        <w:rPr>
          <w:rFonts w:hint="eastAsia" w:ascii="宋体" w:hAnsi="宋体" w:cs="宋体"/>
          <w:b/>
          <w:sz w:val="24"/>
        </w:rPr>
        <w:t>服务范围</w:t>
      </w:r>
    </w:p>
    <w:p w14:paraId="2BA31234">
      <w:pPr>
        <w:pStyle w:val="9"/>
        <w:spacing w:line="360" w:lineRule="auto"/>
        <w:ind w:firstLine="480"/>
        <w:rPr>
          <w:rFonts w:hint="eastAsia" w:ascii="宋体" w:hAnsi="宋体" w:cs="宋体"/>
          <w:bCs/>
        </w:rPr>
      </w:pPr>
      <w:r>
        <w:rPr>
          <w:rFonts w:hint="eastAsia" w:ascii="宋体" w:hAnsi="宋体" w:cs="宋体"/>
          <w:bCs/>
        </w:rPr>
        <w:t>该项目主要用于交互设备的线上验证与微显示芯片交互加工工艺联合研发，服务范围包括但不限于约定周期内采购方微纳加工设备的线上应用验证、提供机器运行所需的场地条件与交互式加工工艺条件、微显示晶圆PDL层与阳极层的设计、图形化技术（含联合）开发、工艺集成技术（含联合）开发、显示芯片封装测试、VR眼镜联合研发服务。</w:t>
      </w:r>
    </w:p>
    <w:p w14:paraId="29FE15DB">
      <w:pPr>
        <w:pStyle w:val="6"/>
        <w:ind w:firstLine="0" w:firstLineChars="0"/>
      </w:pPr>
    </w:p>
    <w:p w14:paraId="1399388B">
      <w:pPr>
        <w:widowControl/>
        <w:snapToGrid w:val="0"/>
        <w:spacing w:before="156" w:beforeLines="50" w:line="360" w:lineRule="auto"/>
        <w:jc w:val="center"/>
        <w:outlineLvl w:val="1"/>
        <w:rPr>
          <w:b/>
          <w:sz w:val="30"/>
          <w:szCs w:val="30"/>
        </w:rPr>
      </w:pPr>
      <w:r>
        <w:rPr>
          <w:rFonts w:hint="eastAsia"/>
          <w:b/>
          <w:sz w:val="30"/>
          <w:szCs w:val="30"/>
        </w:rPr>
        <w:t>（一）技术要求：</w:t>
      </w:r>
    </w:p>
    <w:p w14:paraId="781AF8FF">
      <w:pPr>
        <w:spacing w:line="360" w:lineRule="auto"/>
        <w:rPr>
          <w:rFonts w:hint="eastAsia" w:ascii="宋体" w:hAnsi="宋体" w:cs="宋体"/>
          <w:b/>
          <w:sz w:val="24"/>
        </w:rPr>
      </w:pPr>
      <w:r>
        <w:rPr>
          <w:rFonts w:hint="eastAsia" w:ascii="宋体" w:hAnsi="宋体" w:cs="宋体"/>
          <w:b/>
          <w:sz w:val="24"/>
        </w:rPr>
        <w:t>四、服务内容及成果要求(</w:t>
      </w:r>
      <w:bookmarkStart w:id="0" w:name="_Hlk212476852"/>
      <w:r>
        <w:rPr>
          <w:rFonts w:hint="eastAsia" w:ascii="宋体" w:hAnsi="宋体" w:cs="宋体"/>
          <w:b/>
          <w:sz w:val="24"/>
        </w:rPr>
        <w:t>★</w:t>
      </w:r>
      <w:bookmarkEnd w:id="0"/>
      <w:r>
        <w:rPr>
          <w:rFonts w:hint="eastAsia" w:ascii="宋体" w:hAnsi="宋体" w:cs="宋体"/>
          <w:b/>
          <w:sz w:val="24"/>
        </w:rPr>
        <w:t>为必要要求)</w:t>
      </w:r>
    </w:p>
    <w:p w14:paraId="3DCF39EF">
      <w:pPr>
        <w:tabs>
          <w:tab w:val="left" w:pos="993"/>
          <w:tab w:val="left" w:pos="1418"/>
        </w:tabs>
        <w:spacing w:line="360" w:lineRule="auto"/>
        <w:rPr>
          <w:rFonts w:hint="eastAsia" w:ascii="宋体" w:hAnsi="宋体" w:cs="宋体"/>
          <w:sz w:val="24"/>
        </w:rPr>
      </w:pPr>
      <w:bookmarkStart w:id="1" w:name="OLE_LINK3"/>
      <w:r>
        <w:rPr>
          <w:rFonts w:hint="eastAsia" w:ascii="宋体" w:hAnsi="宋体" w:cs="宋体"/>
          <w:sz w:val="24"/>
        </w:rPr>
        <w:t>★</w:t>
      </w:r>
      <w:bookmarkEnd w:id="1"/>
      <w:r>
        <w:rPr>
          <w:rFonts w:hint="eastAsia" w:ascii="宋体" w:hAnsi="宋体" w:cs="宋体"/>
          <w:sz w:val="24"/>
        </w:rPr>
        <w:t>（1）在投标方产线上进行交互加工</w:t>
      </w:r>
      <w:r>
        <w:rPr>
          <w:rFonts w:hint="eastAsia" w:ascii="宋体" w:hAnsi="宋体" w:cs="宋体"/>
          <w:bCs/>
          <w:sz w:val="24"/>
        </w:rPr>
        <w:t>工艺开发的条件</w:t>
      </w:r>
    </w:p>
    <w:p w14:paraId="51EE63DC">
      <w:pPr>
        <w:spacing w:line="360" w:lineRule="auto"/>
        <w:ind w:firstLine="420" w:firstLineChars="175"/>
        <w:rPr>
          <w:rFonts w:hint="eastAsia" w:ascii="宋体" w:hAnsi="宋体" w:cs="宋体"/>
          <w:sz w:val="24"/>
        </w:rPr>
      </w:pPr>
      <w:r>
        <w:rPr>
          <w:rFonts w:hint="eastAsia" w:ascii="宋体" w:hAnsi="宋体" w:cs="宋体"/>
          <w:bCs/>
          <w:sz w:val="24"/>
        </w:rPr>
        <w:t>1）PCW：a.</w:t>
      </w:r>
      <w:r>
        <w:rPr>
          <w:rFonts w:hint="eastAsia" w:ascii="宋体" w:hAnsi="宋体" w:cs="宋体"/>
          <w:sz w:val="24"/>
        </w:rPr>
        <w:t>3.0-6.0 bar 100 L/min；b.温度18-20℃；c.温度波动＜1℃/h；d.电导率：＜100μs/cm@25℃；e.供应压力3.0-6.0bar；f.回水压力0-2.0bar；g.悬浮颗粒尺寸：≤100μm；h.全硬度：＜200(mg/L）；i.pH值7.0±1.0@25℃；j.末端需配开关、调节阀和压力表。</w:t>
      </w:r>
    </w:p>
    <w:p w14:paraId="4179C730">
      <w:pPr>
        <w:spacing w:line="360" w:lineRule="auto"/>
        <w:ind w:firstLine="420" w:firstLineChars="175"/>
        <w:rPr>
          <w:rFonts w:hint="eastAsia" w:ascii="宋体" w:hAnsi="宋体" w:cs="宋体"/>
          <w:sz w:val="24"/>
        </w:rPr>
      </w:pPr>
      <w:r>
        <w:rPr>
          <w:rFonts w:hint="eastAsia" w:ascii="宋体" w:hAnsi="宋体" w:cs="宋体"/>
          <w:bCs/>
          <w:sz w:val="24"/>
        </w:rPr>
        <w:t>2）</w:t>
      </w:r>
      <w:r>
        <w:rPr>
          <w:rFonts w:hint="eastAsia" w:ascii="宋体" w:hAnsi="宋体" w:cs="宋体"/>
          <w:sz w:val="24"/>
        </w:rPr>
        <w:t>CDA：a.≥0.65Mpa 600 L/Min；b.主管道上配末端过滤器，气体洁净度：ISO-0（压缩气体标准）；c.无油、无水、无尘；d.压力稳定，波动≤50pa@1min；e.末端过滤后，配100L容积的稳压气罐；f.末端需配开关、调压阀和气压表。</w:t>
      </w:r>
    </w:p>
    <w:p w14:paraId="77DB5539">
      <w:pPr>
        <w:spacing w:line="360" w:lineRule="auto"/>
        <w:ind w:firstLine="420" w:firstLineChars="175"/>
        <w:rPr>
          <w:rFonts w:hint="eastAsia" w:ascii="宋体" w:hAnsi="宋体" w:cs="宋体"/>
          <w:bCs/>
          <w:sz w:val="24"/>
        </w:rPr>
      </w:pPr>
      <w:r>
        <w:rPr>
          <w:rFonts w:hint="eastAsia" w:ascii="宋体" w:hAnsi="宋体" w:cs="宋体"/>
          <w:bCs/>
          <w:sz w:val="24"/>
        </w:rPr>
        <w:t>3）真空PV：优于-0.08 Mpa，抽气速率300 L/min</w:t>
      </w:r>
    </w:p>
    <w:p w14:paraId="34617547">
      <w:pPr>
        <w:spacing w:line="360" w:lineRule="auto"/>
        <w:ind w:firstLine="420" w:firstLineChars="175"/>
        <w:rPr>
          <w:rFonts w:hint="eastAsia" w:ascii="宋体" w:hAnsi="宋体" w:cs="宋体"/>
          <w:bCs/>
          <w:sz w:val="24"/>
        </w:rPr>
      </w:pPr>
      <w:r>
        <w:rPr>
          <w:rFonts w:hint="eastAsia" w:ascii="宋体" w:hAnsi="宋体" w:cs="宋体"/>
          <w:bCs/>
          <w:sz w:val="24"/>
        </w:rPr>
        <w:t>4）电气：60 KW，AC380V，接地电阻＜1Ω。</w:t>
      </w:r>
    </w:p>
    <w:p w14:paraId="19DCEB27">
      <w:pPr>
        <w:spacing w:line="360" w:lineRule="auto"/>
        <w:ind w:firstLine="420" w:firstLineChars="175"/>
        <w:rPr>
          <w:rFonts w:hint="eastAsia" w:ascii="宋体" w:hAnsi="宋体" w:cs="宋体"/>
          <w:bCs/>
          <w:sz w:val="24"/>
        </w:rPr>
      </w:pPr>
      <w:r>
        <w:rPr>
          <w:rFonts w:hint="eastAsia" w:ascii="宋体" w:hAnsi="宋体" w:cs="宋体"/>
          <w:bCs/>
          <w:sz w:val="24"/>
        </w:rPr>
        <w:t>5）有机排气：风压300 Pa ，风量 200 m</w:t>
      </w:r>
      <w:r>
        <w:rPr>
          <w:rFonts w:hint="eastAsia" w:ascii="宋体" w:hAnsi="宋体" w:cs="宋体"/>
          <w:bCs/>
          <w:sz w:val="24"/>
          <w:vertAlign w:val="superscript"/>
        </w:rPr>
        <w:t>3</w:t>
      </w:r>
      <w:r>
        <w:rPr>
          <w:rFonts w:hint="eastAsia" w:ascii="宋体" w:hAnsi="宋体" w:cs="宋体"/>
          <w:bCs/>
          <w:sz w:val="24"/>
        </w:rPr>
        <w:t>/h。</w:t>
      </w:r>
    </w:p>
    <w:p w14:paraId="4B360026">
      <w:pPr>
        <w:spacing w:line="360" w:lineRule="auto"/>
        <w:ind w:firstLine="420" w:firstLineChars="175"/>
        <w:rPr>
          <w:rFonts w:hint="eastAsia" w:ascii="宋体" w:hAnsi="宋体" w:cs="宋体"/>
          <w:bCs/>
          <w:sz w:val="24"/>
        </w:rPr>
      </w:pPr>
      <w:r>
        <w:rPr>
          <w:rFonts w:hint="eastAsia" w:ascii="宋体" w:hAnsi="宋体" w:cs="宋体"/>
          <w:bCs/>
          <w:sz w:val="24"/>
        </w:rPr>
        <w:t>6）普通排水：排水沟或接水盘 30 L/min，调试排水&amp;除湿排水。</w:t>
      </w:r>
    </w:p>
    <w:p w14:paraId="71B0887E">
      <w:pPr>
        <w:spacing w:line="360" w:lineRule="auto"/>
        <w:ind w:firstLine="420" w:firstLineChars="175"/>
        <w:rPr>
          <w:rFonts w:hint="eastAsia" w:ascii="宋体" w:hAnsi="宋体" w:cs="宋体"/>
          <w:bCs/>
          <w:sz w:val="24"/>
        </w:rPr>
      </w:pPr>
      <w:r>
        <w:rPr>
          <w:rFonts w:hint="eastAsia" w:ascii="宋体" w:hAnsi="宋体" w:cs="宋体"/>
          <w:bCs/>
          <w:sz w:val="24"/>
        </w:rPr>
        <w:t>7）热排风：风压300 Pa ，风量 200 m</w:t>
      </w:r>
      <w:r>
        <w:rPr>
          <w:rFonts w:hint="eastAsia" w:ascii="宋体" w:hAnsi="宋体" w:cs="宋体"/>
          <w:bCs/>
          <w:sz w:val="24"/>
          <w:vertAlign w:val="superscript"/>
        </w:rPr>
        <w:t>3</w:t>
      </w:r>
      <w:r>
        <w:rPr>
          <w:rFonts w:hint="eastAsia" w:ascii="宋体" w:hAnsi="宋体" w:cs="宋体"/>
          <w:bCs/>
          <w:sz w:val="24"/>
        </w:rPr>
        <w:t>/h。</w:t>
      </w:r>
    </w:p>
    <w:p w14:paraId="1C71500C">
      <w:pPr>
        <w:tabs>
          <w:tab w:val="left" w:pos="993"/>
          <w:tab w:val="left" w:pos="1418"/>
        </w:tabs>
        <w:spacing w:line="360" w:lineRule="auto"/>
        <w:ind w:firstLine="480" w:firstLineChars="200"/>
        <w:rPr>
          <w:rFonts w:hint="eastAsia" w:ascii="宋体" w:hAnsi="宋体" w:cs="宋体"/>
          <w:bCs/>
          <w:sz w:val="24"/>
        </w:rPr>
      </w:pPr>
      <w:r>
        <w:rPr>
          <w:rFonts w:hint="eastAsia" w:ascii="宋体" w:hAnsi="宋体" w:cs="宋体"/>
          <w:bCs/>
          <w:sz w:val="24"/>
        </w:rPr>
        <w:t>8）洁净度： 100级。</w:t>
      </w:r>
    </w:p>
    <w:p w14:paraId="4218A304">
      <w:pPr>
        <w:tabs>
          <w:tab w:val="left" w:pos="993"/>
          <w:tab w:val="left" w:pos="1418"/>
        </w:tabs>
        <w:spacing w:line="360" w:lineRule="auto"/>
        <w:ind w:firstLine="480" w:firstLineChars="200"/>
        <w:rPr>
          <w:rFonts w:hint="eastAsia" w:ascii="宋体" w:hAnsi="宋体" w:cs="宋体"/>
          <w:bCs/>
          <w:sz w:val="24"/>
        </w:rPr>
      </w:pPr>
      <w:r>
        <w:rPr>
          <w:rFonts w:hint="eastAsia" w:ascii="宋体" w:hAnsi="宋体" w:cs="宋体"/>
          <w:bCs/>
          <w:sz w:val="24"/>
        </w:rPr>
        <w:t>9）温湿度：a.温度(22±1)℃；b.相对湿度：RH40%-50%。</w:t>
      </w:r>
    </w:p>
    <w:p w14:paraId="4632B54E">
      <w:pPr>
        <w:tabs>
          <w:tab w:val="left" w:pos="993"/>
          <w:tab w:val="left" w:pos="1418"/>
        </w:tabs>
        <w:spacing w:line="360" w:lineRule="auto"/>
        <w:ind w:firstLine="480" w:firstLineChars="200"/>
        <w:rPr>
          <w:rFonts w:hint="eastAsia" w:ascii="宋体" w:hAnsi="宋体" w:cs="宋体"/>
          <w:bCs/>
          <w:sz w:val="24"/>
        </w:rPr>
      </w:pPr>
      <w:r>
        <w:rPr>
          <w:rFonts w:hint="eastAsia" w:ascii="宋体" w:hAnsi="宋体" w:cs="宋体"/>
          <w:bCs/>
          <w:sz w:val="24"/>
        </w:rPr>
        <w:t>10）实验工艺环境：黄光环境、环境洁净度优于ISO5、温度22±1℃、湿度45%±10%。</w:t>
      </w:r>
    </w:p>
    <w:p w14:paraId="22625DE9">
      <w:pPr>
        <w:pStyle w:val="6"/>
        <w:ind w:left="0" w:leftChars="0" w:firstLine="0" w:firstLineChars="0"/>
        <w:rPr>
          <w:rFonts w:hint="eastAsia" w:ascii="宋体" w:hAnsi="宋体" w:cs="宋体"/>
          <w:bCs/>
          <w:sz w:val="24"/>
        </w:rPr>
      </w:pPr>
      <w:r>
        <w:rPr>
          <w:rFonts w:hint="eastAsia" w:ascii="宋体" w:hAnsi="宋体" w:cs="宋体"/>
          <w:sz w:val="24"/>
        </w:rPr>
        <w:t xml:space="preserve">    </w:t>
      </w:r>
      <w:r>
        <w:rPr>
          <w:rFonts w:hint="eastAsia" w:ascii="宋体" w:hAnsi="宋体" w:cs="宋体"/>
          <w:bCs/>
          <w:sz w:val="24"/>
        </w:rPr>
        <w:t>11）隔振等级：VC-D</w:t>
      </w:r>
    </w:p>
    <w:p w14:paraId="32B96EB0">
      <w:pPr>
        <w:pStyle w:val="6"/>
        <w:ind w:left="0" w:leftChars="0" w:firstLine="0" w:firstLineChars="0"/>
        <w:rPr>
          <w:rFonts w:hint="eastAsia" w:ascii="宋体" w:hAnsi="宋体" w:cs="宋体"/>
          <w:bCs/>
          <w:sz w:val="24"/>
        </w:rPr>
      </w:pPr>
      <w:r>
        <w:rPr>
          <w:rFonts w:hint="eastAsia" w:ascii="宋体" w:hAnsi="宋体" w:cs="宋体"/>
          <w:bCs/>
          <w:sz w:val="24"/>
        </w:rPr>
        <w:t xml:space="preserve">    12）地基承重：不少于8吨。</w:t>
      </w:r>
    </w:p>
    <w:p w14:paraId="0ED834E0">
      <w:pPr>
        <w:tabs>
          <w:tab w:val="left" w:pos="993"/>
          <w:tab w:val="left" w:pos="1418"/>
        </w:tabs>
        <w:spacing w:line="360" w:lineRule="auto"/>
        <w:ind w:firstLine="480" w:firstLineChars="200"/>
        <w:rPr>
          <w:rFonts w:hint="eastAsia" w:ascii="宋体" w:hAnsi="宋体" w:cs="宋体"/>
          <w:bCs/>
          <w:sz w:val="24"/>
        </w:rPr>
      </w:pPr>
      <w:r>
        <w:rPr>
          <w:rFonts w:hint="eastAsia" w:ascii="宋体" w:hAnsi="宋体" w:cs="宋体"/>
          <w:bCs/>
          <w:sz w:val="24"/>
        </w:rPr>
        <w:t>13) 具有可进行液体化学药品（有机、强酸）处理的操作台或通风橱设施。</w:t>
      </w:r>
    </w:p>
    <w:p w14:paraId="17712E2C">
      <w:pPr>
        <w:tabs>
          <w:tab w:val="left" w:pos="993"/>
          <w:tab w:val="left" w:pos="1418"/>
        </w:tabs>
        <w:spacing w:line="360" w:lineRule="auto"/>
        <w:ind w:firstLine="480" w:firstLineChars="200"/>
        <w:rPr>
          <w:rFonts w:hint="eastAsia" w:ascii="宋体" w:hAnsi="宋体" w:cs="宋体"/>
          <w:bCs/>
          <w:sz w:val="24"/>
        </w:rPr>
      </w:pPr>
      <w:r>
        <w:rPr>
          <w:rFonts w:hint="eastAsia" w:ascii="宋体" w:hAnsi="宋体" w:cs="宋体"/>
          <w:bCs/>
          <w:sz w:val="24"/>
        </w:rPr>
        <w:t>14）提供空间：不少于14000 mm(L)×6000 mm(W)×4000(H)。</w:t>
      </w:r>
    </w:p>
    <w:p w14:paraId="6C051BAF">
      <w:pPr>
        <w:tabs>
          <w:tab w:val="left" w:pos="993"/>
          <w:tab w:val="left" w:pos="1418"/>
        </w:tabs>
        <w:spacing w:line="360" w:lineRule="auto"/>
        <w:rPr>
          <w:sz w:val="24"/>
        </w:rPr>
      </w:pPr>
      <w:r>
        <w:rPr>
          <w:rFonts w:hint="eastAsia"/>
          <w:sz w:val="24"/>
        </w:rPr>
        <w:t>（2）服务内容要求</w:t>
      </w:r>
    </w:p>
    <w:p w14:paraId="1B03F047">
      <w:pPr>
        <w:spacing w:line="360" w:lineRule="auto"/>
        <w:ind w:firstLine="420" w:firstLineChars="175"/>
        <w:rPr>
          <w:bCs/>
          <w:sz w:val="24"/>
        </w:rPr>
      </w:pPr>
      <w:r>
        <w:rPr>
          <w:rFonts w:hint="eastAsia" w:ascii="Segoe UI Symbol" w:hAnsi="Segoe UI Symbol" w:cs="Segoe UI Symbol"/>
          <w:bCs/>
          <w:sz w:val="24"/>
        </w:rPr>
        <w:t>★</w:t>
      </w:r>
      <w:r>
        <w:rPr>
          <w:rFonts w:hint="eastAsia"/>
          <w:bCs/>
          <w:sz w:val="24"/>
        </w:rPr>
        <w:t>1）投标人具有8吋或12吋晶圆加工产线条件(提供8吋或12吋产品的规格书或说明书)，可支持采购方将微纳加工设备搬至投标人产线进行安装、调试以及线上验证工作；</w:t>
      </w:r>
    </w:p>
    <w:p w14:paraId="01259642">
      <w:pPr>
        <w:spacing w:line="360" w:lineRule="auto"/>
        <w:ind w:firstLine="420" w:firstLineChars="175"/>
        <w:rPr>
          <w:bCs/>
          <w:sz w:val="24"/>
        </w:rPr>
      </w:pPr>
      <w:r>
        <w:rPr>
          <w:rFonts w:hint="eastAsia" w:ascii="Segoe UI Symbol" w:hAnsi="Segoe UI Symbol" w:cs="Segoe UI Symbol"/>
          <w:bCs/>
          <w:sz w:val="24"/>
        </w:rPr>
        <w:t>★</w:t>
      </w:r>
      <w:r>
        <w:rPr>
          <w:rFonts w:hint="eastAsia"/>
          <w:bCs/>
          <w:sz w:val="24"/>
        </w:rPr>
        <w:t>2）投标人具有微显示芯片量产产品，满足3000 PPI及更高分辨率显示芯片的设计开发能力（提供量产产品规格书或说明书），可授权采购方进行交互式工艺联合开发；</w:t>
      </w:r>
    </w:p>
    <w:p w14:paraId="1A0219E0">
      <w:pPr>
        <w:spacing w:line="360" w:lineRule="auto"/>
        <w:ind w:firstLine="420" w:firstLineChars="175"/>
        <w:rPr>
          <w:bCs/>
          <w:sz w:val="24"/>
        </w:rPr>
      </w:pPr>
      <w:r>
        <w:rPr>
          <w:rFonts w:hint="eastAsia"/>
          <w:bCs/>
          <w:sz w:val="24"/>
        </w:rPr>
        <w:t>3）投标人应对终版设计文件进行数据完整性检查，并进行设计规则复查，复查结果通知采购人确认；</w:t>
      </w:r>
    </w:p>
    <w:p w14:paraId="5DA76D2F">
      <w:pPr>
        <w:spacing w:line="360" w:lineRule="auto"/>
        <w:ind w:firstLine="420" w:firstLineChars="175"/>
        <w:rPr>
          <w:bCs/>
          <w:sz w:val="24"/>
        </w:rPr>
      </w:pPr>
      <w:r>
        <w:rPr>
          <w:rFonts w:hint="eastAsia"/>
          <w:bCs/>
          <w:sz w:val="24"/>
        </w:rPr>
        <w:t>4）投标人对本项目成立独立管理组至少2人负责解决重大问题、与采购人进行技术、进度沟通协调，并配合采购人进行进度检查和质量监控；</w:t>
      </w:r>
    </w:p>
    <w:p w14:paraId="7B147C00">
      <w:pPr>
        <w:spacing w:line="360" w:lineRule="auto"/>
        <w:ind w:firstLine="420" w:firstLineChars="175"/>
        <w:rPr>
          <w:bCs/>
          <w:sz w:val="24"/>
        </w:rPr>
      </w:pPr>
      <w:r>
        <w:rPr>
          <w:rFonts w:hint="eastAsia"/>
          <w:bCs/>
          <w:sz w:val="24"/>
        </w:rPr>
        <w:t>5）投标人需与参与本项目的外协单位签署保密协议，对接触的各类资料具有保密义务；</w:t>
      </w:r>
    </w:p>
    <w:p w14:paraId="5BE5FEF0">
      <w:pPr>
        <w:spacing w:line="360" w:lineRule="auto"/>
        <w:ind w:firstLine="420" w:firstLineChars="175"/>
        <w:rPr>
          <w:bCs/>
          <w:sz w:val="24"/>
        </w:rPr>
      </w:pPr>
      <w:r>
        <w:rPr>
          <w:rFonts w:hint="eastAsia"/>
          <w:bCs/>
          <w:sz w:val="24"/>
        </w:rPr>
        <w:t>6）投标人提供免费技术支持热线，电话响应时间要求4小时内，邮件响应时间要求1个工作日内；</w:t>
      </w:r>
    </w:p>
    <w:p w14:paraId="21722F9B">
      <w:pPr>
        <w:spacing w:line="360" w:lineRule="auto"/>
        <w:ind w:firstLine="420" w:firstLineChars="175"/>
        <w:rPr>
          <w:bCs/>
          <w:sz w:val="24"/>
        </w:rPr>
      </w:pPr>
      <w:r>
        <w:rPr>
          <w:rFonts w:hint="eastAsia"/>
          <w:bCs/>
          <w:sz w:val="24"/>
        </w:rPr>
        <w:t>7）交互式微显示芯片开发、制版加工、开发完成后根据服务情况提供包括但不限于工艺开发报告、制版加工文件等报告；</w:t>
      </w:r>
    </w:p>
    <w:p w14:paraId="34990ECC">
      <w:pPr>
        <w:spacing w:line="360" w:lineRule="auto"/>
        <w:ind w:firstLine="420" w:firstLineChars="175"/>
        <w:rPr>
          <w:bCs/>
          <w:sz w:val="24"/>
        </w:rPr>
      </w:pPr>
      <w:r>
        <w:rPr>
          <w:rFonts w:hint="eastAsia"/>
          <w:bCs/>
          <w:sz w:val="24"/>
        </w:rPr>
        <w:t>8）配合采购人进行进度检查和质量监控、保密监控。</w:t>
      </w:r>
    </w:p>
    <w:p w14:paraId="6ED97881">
      <w:pPr>
        <w:tabs>
          <w:tab w:val="left" w:pos="993"/>
          <w:tab w:val="left" w:pos="1418"/>
        </w:tabs>
        <w:spacing w:line="360" w:lineRule="auto"/>
        <w:rPr>
          <w:sz w:val="24"/>
        </w:rPr>
      </w:pPr>
      <w:r>
        <w:rPr>
          <w:rFonts w:hint="eastAsia" w:ascii="Segoe UI Symbol" w:hAnsi="Segoe UI Symbol" w:cs="Segoe UI Symbol"/>
          <w:sz w:val="24"/>
        </w:rPr>
        <w:t>★</w:t>
      </w:r>
      <w:r>
        <w:rPr>
          <w:rFonts w:hint="eastAsia"/>
          <w:sz w:val="24"/>
        </w:rPr>
        <w:t>（3）微显示芯片晶圆PDL层设计</w:t>
      </w:r>
    </w:p>
    <w:p w14:paraId="27F0E93F">
      <w:pPr>
        <w:spacing w:line="360" w:lineRule="auto"/>
        <w:ind w:firstLine="420" w:firstLineChars="175"/>
        <w:rPr>
          <w:bCs/>
          <w:sz w:val="24"/>
        </w:rPr>
      </w:pPr>
      <w:r>
        <w:rPr>
          <w:rFonts w:hint="eastAsia"/>
          <w:bCs/>
          <w:sz w:val="24"/>
        </w:rPr>
        <w:t>1）PDL层材料： SiOx ；厚度 100±1</w:t>
      </w:r>
      <w:r>
        <w:rPr>
          <w:bCs/>
          <w:sz w:val="24"/>
        </w:rPr>
        <w:t>5</w:t>
      </w:r>
      <w:r>
        <w:rPr>
          <w:rFonts w:hint="eastAsia"/>
          <w:bCs/>
          <w:sz w:val="24"/>
        </w:rPr>
        <w:t xml:space="preserve"> nm；</w:t>
      </w:r>
    </w:p>
    <w:p w14:paraId="6030DD71">
      <w:pPr>
        <w:spacing w:line="360" w:lineRule="auto"/>
        <w:ind w:firstLine="420" w:firstLineChars="175"/>
        <w:rPr>
          <w:bCs/>
          <w:sz w:val="24"/>
        </w:rPr>
      </w:pPr>
      <w:r>
        <w:rPr>
          <w:rFonts w:hint="eastAsia"/>
          <w:bCs/>
          <w:sz w:val="24"/>
        </w:rPr>
        <w:t>2）</w:t>
      </w:r>
      <w:bookmarkStart w:id="2" w:name="_Hlk212113147"/>
      <w:r>
        <w:rPr>
          <w:rFonts w:hint="eastAsia"/>
          <w:bCs/>
          <w:sz w:val="24"/>
        </w:rPr>
        <w:t>PDL层像素尺寸≥3.9 μm、像素间距&gt;0</w:t>
      </w:r>
      <w:r>
        <w:rPr>
          <w:bCs/>
          <w:sz w:val="24"/>
        </w:rPr>
        <w:t>.</w:t>
      </w:r>
      <w:r>
        <w:rPr>
          <w:rFonts w:hint="eastAsia"/>
          <w:bCs/>
          <w:sz w:val="24"/>
        </w:rPr>
        <w:t>8μm；</w:t>
      </w:r>
      <w:bookmarkEnd w:id="2"/>
    </w:p>
    <w:p w14:paraId="4DAC23CC">
      <w:pPr>
        <w:tabs>
          <w:tab w:val="left" w:pos="993"/>
          <w:tab w:val="left" w:pos="1418"/>
        </w:tabs>
        <w:spacing w:line="360" w:lineRule="auto"/>
        <w:rPr>
          <w:sz w:val="24"/>
        </w:rPr>
      </w:pPr>
      <w:r>
        <w:rPr>
          <w:rFonts w:hint="eastAsia" w:ascii="Segoe UI Symbol" w:hAnsi="Segoe UI Symbol" w:cs="Segoe UI Symbol"/>
          <w:sz w:val="24"/>
        </w:rPr>
        <w:t>★</w:t>
      </w:r>
      <w:r>
        <w:rPr>
          <w:rFonts w:hint="eastAsia"/>
          <w:sz w:val="24"/>
        </w:rPr>
        <w:t>（4）交互式工艺开发要求</w:t>
      </w:r>
    </w:p>
    <w:p w14:paraId="5FE62A97">
      <w:pPr>
        <w:spacing w:line="360" w:lineRule="auto"/>
        <w:ind w:firstLine="420" w:firstLineChars="175"/>
        <w:rPr>
          <w:bCs/>
          <w:sz w:val="24"/>
        </w:rPr>
      </w:pPr>
      <w:bookmarkStart w:id="3" w:name="_Hlk212113921"/>
      <w:r>
        <w:rPr>
          <w:rFonts w:hint="eastAsia"/>
          <w:bCs/>
          <w:sz w:val="24"/>
        </w:rPr>
        <w:t>1）交互式工艺开发</w:t>
      </w:r>
    </w:p>
    <w:p w14:paraId="1BFCC8C3">
      <w:pPr>
        <w:spacing w:line="360" w:lineRule="auto"/>
        <w:ind w:firstLine="420" w:firstLineChars="175"/>
        <w:rPr>
          <w:bCs/>
          <w:sz w:val="24"/>
        </w:rPr>
      </w:pPr>
      <w:r>
        <w:rPr>
          <w:rFonts w:hint="eastAsia"/>
          <w:bCs/>
          <w:sz w:val="24"/>
        </w:rPr>
        <w:t>投标方利用采购方微纳加工设备完成PDL层曝光，并完成后续刻蚀工艺。要求加工晶圆尺寸 8吋，PDL taper angle 55-65°、PDL层刻蚀深度100 nm±10 nm；</w:t>
      </w:r>
      <w:bookmarkEnd w:id="3"/>
    </w:p>
    <w:p w14:paraId="4BAE9584">
      <w:pPr>
        <w:spacing w:line="360" w:lineRule="auto"/>
        <w:ind w:firstLine="420" w:firstLineChars="175"/>
        <w:rPr>
          <w:bCs/>
          <w:sz w:val="24"/>
        </w:rPr>
      </w:pPr>
      <w:r>
        <w:rPr>
          <w:rFonts w:hint="eastAsia"/>
          <w:bCs/>
          <w:sz w:val="24"/>
        </w:rPr>
        <w:t>2）对准标记加工</w:t>
      </w:r>
    </w:p>
    <w:p w14:paraId="03AAB708">
      <w:pPr>
        <w:spacing w:line="360" w:lineRule="auto"/>
        <w:ind w:firstLine="420" w:firstLineChars="175"/>
        <w:rPr>
          <w:bCs/>
          <w:sz w:val="24"/>
        </w:rPr>
      </w:pPr>
      <w:r>
        <w:rPr>
          <w:rFonts w:hint="eastAsia"/>
          <w:bCs/>
          <w:sz w:val="24"/>
        </w:rPr>
        <w:t>投标方按采购方提供版图在阳极层上完成对准标记加工。对准标记高度≥50nm ；沉积材料：Ti/Al/TiN；</w:t>
      </w:r>
    </w:p>
    <w:p w14:paraId="473C6BB9">
      <w:pPr>
        <w:spacing w:line="360" w:lineRule="auto"/>
        <w:ind w:firstLine="420" w:firstLineChars="175"/>
        <w:rPr>
          <w:bCs/>
          <w:sz w:val="24"/>
        </w:rPr>
      </w:pPr>
      <w:r>
        <w:rPr>
          <w:rFonts w:hint="eastAsia"/>
          <w:bCs/>
          <w:sz w:val="24"/>
        </w:rPr>
        <w:t>3）</w:t>
      </w:r>
      <w:r>
        <w:rPr>
          <w:bCs/>
          <w:sz w:val="24"/>
        </w:rPr>
        <w:t>微显示芯片封装（包括全由投标方加工的baseline芯片和投标方与采购方交互式开发的芯片）：a. pixel≤5.4μm *5.4μm，b. PPI&gt;3000，c. PDL包边宽度≤0.65μm，d. 显示尺寸0.71英寸，e.恒温平台测试，f. 亮度调节等级10，g. 每一级亮度对应值</w:t>
      </w:r>
      <w:r>
        <w:rPr>
          <w:rFonts w:hint="eastAsia"/>
          <w:bCs/>
          <w:sz w:val="24"/>
        </w:rPr>
        <w:t>（</w:t>
      </w:r>
      <w:r>
        <w:rPr>
          <w:bCs/>
          <w:sz w:val="24"/>
        </w:rPr>
        <w:t>Max 3000 - Min 1000 nits</w:t>
      </w:r>
      <w:r>
        <w:rPr>
          <w:rFonts w:hint="eastAsia"/>
          <w:bCs/>
          <w:sz w:val="24"/>
        </w:rPr>
        <w:t>）</w:t>
      </w:r>
      <w:r>
        <w:rPr>
          <w:bCs/>
          <w:sz w:val="24"/>
        </w:rPr>
        <w:t>±10%，h. 单个显示屏均匀性标准(max-min)/(max+min)&gt;85%@30℃@255 Gray, i. 色域要求sRGB 108%@255 Gray，j. 芯片表面玻璃厚度0.5 mm±0.02 mm，h. 3000 nits功耗≤500 mW；</w:t>
      </w:r>
    </w:p>
    <w:p w14:paraId="73FD6C6C">
      <w:pPr>
        <w:tabs>
          <w:tab w:val="left" w:pos="993"/>
          <w:tab w:val="left" w:pos="1418"/>
        </w:tabs>
        <w:spacing w:line="360" w:lineRule="auto"/>
        <w:rPr>
          <w:sz w:val="24"/>
        </w:rPr>
      </w:pPr>
      <w:r>
        <w:rPr>
          <w:rFonts w:hint="eastAsia"/>
          <w:sz w:val="24"/>
        </w:rPr>
        <w:t>（5）最终交付物件及交付方式</w:t>
      </w:r>
    </w:p>
    <w:p w14:paraId="5C3571BB">
      <w:pPr>
        <w:spacing w:line="360" w:lineRule="auto"/>
        <w:ind w:firstLine="420" w:firstLineChars="175"/>
        <w:rPr>
          <w:bCs/>
          <w:sz w:val="24"/>
        </w:rPr>
      </w:pPr>
      <w:r>
        <w:rPr>
          <w:bCs/>
          <w:sz w:val="24"/>
        </w:rPr>
        <w:t>▲</w:t>
      </w:r>
      <w:r>
        <w:rPr>
          <w:rFonts w:hint="eastAsia"/>
          <w:bCs/>
          <w:sz w:val="24"/>
        </w:rPr>
        <w:t>1）交互式微显示芯片：≥50个；</w:t>
      </w:r>
    </w:p>
    <w:p w14:paraId="0958EE93">
      <w:pPr>
        <w:spacing w:line="360" w:lineRule="auto"/>
        <w:ind w:firstLine="420" w:firstLineChars="175"/>
        <w:rPr>
          <w:bCs/>
          <w:sz w:val="24"/>
        </w:rPr>
      </w:pPr>
      <w:r>
        <w:rPr>
          <w:bCs/>
          <w:sz w:val="24"/>
        </w:rPr>
        <w:t>▲</w:t>
      </w:r>
      <w:r>
        <w:rPr>
          <w:rFonts w:hint="eastAsia"/>
          <w:bCs/>
          <w:sz w:val="24"/>
        </w:rPr>
        <w:t>2）交互式微显示芯片流片晶圆：≥10 pcs；</w:t>
      </w:r>
    </w:p>
    <w:p w14:paraId="33C53680">
      <w:pPr>
        <w:spacing w:line="360" w:lineRule="auto"/>
        <w:ind w:firstLine="420" w:firstLineChars="175"/>
        <w:rPr>
          <w:bCs/>
          <w:sz w:val="24"/>
        </w:rPr>
      </w:pPr>
      <w:r>
        <w:rPr>
          <w:rFonts w:hint="eastAsia"/>
          <w:bCs/>
          <w:sz w:val="24"/>
        </w:rPr>
        <w:t>3）工艺开发报告1份；</w:t>
      </w:r>
    </w:p>
    <w:p w14:paraId="2FC88FB6">
      <w:pPr>
        <w:spacing w:line="360" w:lineRule="auto"/>
        <w:ind w:firstLine="420" w:firstLineChars="175"/>
        <w:rPr>
          <w:bCs/>
          <w:sz w:val="24"/>
        </w:rPr>
      </w:pPr>
      <w:r>
        <w:rPr>
          <w:bCs/>
          <w:sz w:val="24"/>
        </w:rPr>
        <w:t>▲</w:t>
      </w:r>
      <w:r>
        <w:rPr>
          <w:rFonts w:hint="eastAsia"/>
          <w:bCs/>
          <w:sz w:val="24"/>
        </w:rPr>
        <w:t>4）可插拔芯片展示方案板≥2套：实现原芯片与交互式微显示芯片的对比测试。利用该芯片开发的VR或AR眼镜2套；</w:t>
      </w:r>
    </w:p>
    <w:p w14:paraId="3C3E1056">
      <w:pPr>
        <w:spacing w:line="360" w:lineRule="auto"/>
        <w:ind w:firstLine="420" w:firstLineChars="175"/>
        <w:rPr>
          <w:bCs/>
          <w:sz w:val="24"/>
        </w:rPr>
      </w:pPr>
      <w:r>
        <w:rPr>
          <w:bCs/>
          <w:sz w:val="24"/>
        </w:rPr>
        <w:t>▲</w:t>
      </w:r>
      <w:r>
        <w:rPr>
          <w:rFonts w:hint="eastAsia"/>
          <w:bCs/>
          <w:sz w:val="24"/>
        </w:rPr>
        <w:t>5）包括关键尺寸、缺陷等满足技术要求，出具报告；</w:t>
      </w:r>
    </w:p>
    <w:p w14:paraId="34057734">
      <w:pPr>
        <w:spacing w:line="360" w:lineRule="auto"/>
        <w:ind w:firstLine="420" w:firstLineChars="175"/>
        <w:rPr>
          <w:bCs/>
          <w:sz w:val="24"/>
        </w:rPr>
      </w:pPr>
      <w:r>
        <w:rPr>
          <w:bCs/>
          <w:sz w:val="24"/>
        </w:rPr>
        <w:t>▲</w:t>
      </w:r>
      <w:r>
        <w:rPr>
          <w:rFonts w:hint="eastAsia"/>
          <w:bCs/>
          <w:sz w:val="24"/>
        </w:rPr>
        <w:t>6）显示芯片性能测试报告：包括原显示芯片与交互式微显示芯片分辨率、亮度、色域等指标满足技术要求，出具报告；</w:t>
      </w:r>
    </w:p>
    <w:p w14:paraId="50BAD610">
      <w:pPr>
        <w:spacing w:line="360" w:lineRule="auto"/>
        <w:ind w:firstLine="420" w:firstLineChars="175"/>
        <w:rPr>
          <w:bCs/>
          <w:sz w:val="24"/>
        </w:rPr>
      </w:pPr>
      <w:r>
        <w:rPr>
          <w:rFonts w:hint="eastAsia"/>
          <w:bCs/>
          <w:sz w:val="24"/>
        </w:rPr>
        <w:t>7）实物通过快递等方式运送到采购人指定地点；</w:t>
      </w:r>
    </w:p>
    <w:p w14:paraId="2AB30B4A">
      <w:pPr>
        <w:spacing w:line="360" w:lineRule="auto"/>
        <w:ind w:firstLine="420" w:firstLineChars="175"/>
        <w:rPr>
          <w:bCs/>
          <w:sz w:val="24"/>
        </w:rPr>
      </w:pPr>
      <w:r>
        <w:rPr>
          <w:rFonts w:hint="eastAsia" w:ascii="Segoe UI Symbol" w:hAnsi="Segoe UI Symbol" w:cs="Segoe UI Symbol"/>
          <w:sz w:val="24"/>
        </w:rPr>
        <w:t>★</w:t>
      </w:r>
      <w:r>
        <w:rPr>
          <w:rFonts w:hint="eastAsia"/>
          <w:bCs/>
          <w:sz w:val="24"/>
        </w:rPr>
        <w:t>8）投标方应提供工艺开发所需相关版图；</w:t>
      </w:r>
    </w:p>
    <w:p w14:paraId="31C4E9CE">
      <w:pPr>
        <w:spacing w:line="360" w:lineRule="auto"/>
        <w:ind w:firstLine="420" w:firstLineChars="175"/>
        <w:rPr>
          <w:bCs/>
          <w:sz w:val="24"/>
        </w:rPr>
      </w:pPr>
      <w:r>
        <w:rPr>
          <w:rFonts w:hint="eastAsia"/>
          <w:bCs/>
          <w:sz w:val="24"/>
        </w:rPr>
        <w:t>▲9）检测报告或合格证必须包含技术指标检测结果或测试报告。</w:t>
      </w:r>
    </w:p>
    <w:p w14:paraId="6A4A4818">
      <w:pPr>
        <w:widowControl/>
        <w:ind w:firstLine="450"/>
        <w:jc w:val="left"/>
        <w:rPr>
          <w:rFonts w:hint="eastAsia" w:hAnsi="宋体" w:cs="宋体"/>
          <w:color w:val="000000"/>
          <w:kern w:val="0"/>
          <w:sz w:val="22"/>
          <w:szCs w:val="22"/>
          <w:lang w:bidi="ar"/>
        </w:rPr>
      </w:pPr>
    </w:p>
    <w:p w14:paraId="3EBCACC4">
      <w:pPr>
        <w:widowControl/>
        <w:snapToGrid w:val="0"/>
        <w:spacing w:before="156" w:beforeLines="50" w:line="360" w:lineRule="auto"/>
        <w:jc w:val="center"/>
        <w:outlineLvl w:val="1"/>
        <w:rPr>
          <w:b/>
          <w:sz w:val="30"/>
          <w:szCs w:val="30"/>
        </w:rPr>
      </w:pPr>
      <w:r>
        <w:rPr>
          <w:rFonts w:hint="eastAsia"/>
          <w:b/>
          <w:sz w:val="30"/>
          <w:szCs w:val="30"/>
        </w:rPr>
        <w:t>（二）商务要求：</w:t>
      </w:r>
    </w:p>
    <w:p w14:paraId="673CB231">
      <w:pPr>
        <w:tabs>
          <w:tab w:val="left" w:pos="993"/>
          <w:tab w:val="left" w:pos="1418"/>
        </w:tabs>
        <w:spacing w:line="360" w:lineRule="auto"/>
        <w:rPr>
          <w:rFonts w:hint="eastAsia" w:ascii="宋体" w:hAnsi="宋体" w:cs="宋体"/>
          <w:sz w:val="24"/>
        </w:rPr>
      </w:pPr>
      <w:r>
        <w:rPr>
          <w:rFonts w:hint="eastAsia" w:ascii="宋体" w:hAnsi="宋体" w:cs="宋体"/>
          <w:sz w:val="24"/>
        </w:rPr>
        <w:t>1、投标人不能按期交付，或前期支持工作无法按时完成，需返还所收合同款并赔偿甲方合同金额的30%，采购人将终止合同，并保留追究服务方责任及要求赔偿损失的权利。</w:t>
      </w:r>
    </w:p>
    <w:p w14:paraId="1E8CFD96">
      <w:pPr>
        <w:tabs>
          <w:tab w:val="left" w:pos="993"/>
          <w:tab w:val="left" w:pos="1418"/>
        </w:tabs>
        <w:spacing w:line="360" w:lineRule="auto"/>
        <w:rPr>
          <w:rFonts w:hint="eastAsia" w:ascii="宋体" w:hAnsi="宋体" w:cs="宋体"/>
          <w:sz w:val="24"/>
        </w:rPr>
      </w:pPr>
      <w:r>
        <w:rPr>
          <w:rFonts w:hint="eastAsia" w:ascii="宋体" w:hAnsi="宋体" w:cs="宋体"/>
          <w:sz w:val="24"/>
        </w:rPr>
        <w:t>2、包装要求：应使用崭新坚固的包装（标准包装），适合于空运、或陆运等长途运输方式；适合气候变化；投标商应对任何由于不当包装或防护措施不利而导致的商品损坏、损失、费用增长等后果负责。</w:t>
      </w:r>
    </w:p>
    <w:p w14:paraId="21E919AB">
      <w:pPr>
        <w:tabs>
          <w:tab w:val="left" w:pos="993"/>
        </w:tabs>
        <w:spacing w:line="360" w:lineRule="auto"/>
        <w:rPr>
          <w:rFonts w:hint="eastAsia" w:ascii="宋体" w:hAnsi="宋体" w:cs="宋体"/>
          <w:sz w:val="24"/>
        </w:rPr>
      </w:pPr>
      <w:r>
        <w:rPr>
          <w:rFonts w:hint="eastAsia" w:ascii="宋体" w:hAnsi="宋体" w:cs="宋体"/>
          <w:sz w:val="24"/>
        </w:rPr>
        <w:t>3、服务时间要求</w:t>
      </w:r>
    </w:p>
    <w:p w14:paraId="068A751D">
      <w:pPr>
        <w:widowControl/>
        <w:snapToGrid w:val="0"/>
        <w:spacing w:line="360" w:lineRule="auto"/>
        <w:ind w:firstLine="480" w:firstLineChars="200"/>
        <w:rPr>
          <w:rFonts w:hint="eastAsia" w:ascii="宋体" w:hAnsi="宋体" w:cs="宋体"/>
          <w:sz w:val="24"/>
        </w:rPr>
      </w:pPr>
      <w:r>
        <w:rPr>
          <w:rFonts w:hint="eastAsia" w:ascii="宋体" w:hAnsi="宋体" w:cs="宋体"/>
          <w:sz w:val="24"/>
        </w:rPr>
        <w:t>自合同签订日至2027年12月1日</w:t>
      </w:r>
    </w:p>
    <w:p w14:paraId="08BB91A9">
      <w:pPr>
        <w:widowControl/>
        <w:snapToGrid w:val="0"/>
        <w:spacing w:line="360" w:lineRule="auto"/>
        <w:rPr>
          <w:rFonts w:hint="eastAsia" w:ascii="宋体" w:hAnsi="宋体" w:cs="宋体"/>
          <w:sz w:val="24"/>
        </w:rPr>
      </w:pPr>
      <w:r>
        <w:rPr>
          <w:rFonts w:hint="eastAsia" w:ascii="宋体" w:hAnsi="宋体" w:cs="宋体"/>
          <w:sz w:val="24"/>
        </w:rPr>
        <w:t>4、履约地点</w:t>
      </w:r>
    </w:p>
    <w:p w14:paraId="1ECFB5BF">
      <w:pPr>
        <w:spacing w:line="360" w:lineRule="auto"/>
        <w:rPr>
          <w:rFonts w:hint="eastAsia" w:ascii="宋体" w:hAnsi="宋体" w:cs="宋体"/>
          <w:sz w:val="24"/>
        </w:rPr>
      </w:pPr>
      <w:r>
        <w:rPr>
          <w:rFonts w:hint="eastAsia" w:ascii="宋体" w:hAnsi="宋体" w:cs="宋体"/>
          <w:sz w:val="24"/>
        </w:rPr>
        <w:t xml:space="preserve">    采购人指定地点。</w:t>
      </w:r>
    </w:p>
    <w:p w14:paraId="217C2074">
      <w:pPr>
        <w:spacing w:after="156" w:afterLines="50" w:line="360" w:lineRule="auto"/>
        <w:rPr>
          <w:rFonts w:hint="eastAsia" w:ascii="宋体" w:hAnsi="宋体" w:cs="宋体"/>
          <w:b/>
          <w:sz w:val="24"/>
        </w:rPr>
      </w:pPr>
      <w:r>
        <w:rPr>
          <w:rFonts w:hint="eastAsia" w:ascii="宋体" w:hAnsi="宋体" w:cs="宋体"/>
          <w:sz w:val="24"/>
        </w:rPr>
        <w:t>★5、交付时间</w:t>
      </w:r>
    </w:p>
    <w:p w14:paraId="31F5C13B">
      <w:pPr>
        <w:spacing w:after="156" w:afterLines="50" w:line="360" w:lineRule="auto"/>
        <w:rPr>
          <w:rFonts w:hint="eastAsia" w:ascii="宋体" w:hAnsi="宋体" w:cs="宋体"/>
          <w:bCs/>
          <w:sz w:val="24"/>
        </w:rPr>
      </w:pPr>
      <w:r>
        <w:rPr>
          <w:rFonts w:hint="eastAsia" w:ascii="宋体" w:hAnsi="宋体" w:cs="宋体"/>
          <w:b/>
          <w:sz w:val="24"/>
        </w:rPr>
        <w:t xml:space="preserve">    </w:t>
      </w:r>
      <w:r>
        <w:rPr>
          <w:rFonts w:hint="eastAsia" w:ascii="宋体" w:hAnsi="宋体" w:cs="宋体"/>
          <w:bCs/>
          <w:sz w:val="24"/>
        </w:rPr>
        <w:t>自合同签订日后6个月内交付第一批交互式微显示芯片流片晶圆</w:t>
      </w:r>
    </w:p>
    <w:p w14:paraId="3C02CC06">
      <w:pPr>
        <w:spacing w:after="156" w:afterLines="50" w:line="360" w:lineRule="auto"/>
        <w:ind w:firstLine="480" w:firstLineChars="200"/>
        <w:rPr>
          <w:rFonts w:hint="eastAsia" w:ascii="宋体" w:hAnsi="宋体" w:cs="宋体"/>
          <w:b/>
          <w:sz w:val="24"/>
        </w:rPr>
      </w:pPr>
      <w:r>
        <w:rPr>
          <w:rFonts w:hint="eastAsia" w:ascii="宋体" w:hAnsi="宋体" w:cs="宋体"/>
          <w:bCs/>
          <w:sz w:val="24"/>
        </w:rPr>
        <w:t>2027年12月1日内完成所有物件交付和验收。</w:t>
      </w:r>
    </w:p>
    <w:p w14:paraId="5259E8FB">
      <w:pPr>
        <w:spacing w:after="156" w:afterLines="50" w:line="360" w:lineRule="auto"/>
        <w:rPr>
          <w:rFonts w:hint="eastAsia" w:ascii="宋体" w:hAnsi="宋体" w:cs="宋体"/>
          <w:sz w:val="24"/>
        </w:rPr>
      </w:pPr>
      <w:r>
        <w:rPr>
          <w:rFonts w:hint="eastAsia" w:ascii="宋体" w:hAnsi="宋体" w:cs="宋体"/>
          <w:sz w:val="24"/>
        </w:rPr>
        <w:t>6、验收方式</w:t>
      </w:r>
    </w:p>
    <w:p w14:paraId="5E4BC71D">
      <w:pPr>
        <w:tabs>
          <w:tab w:val="left" w:pos="993"/>
          <w:tab w:val="left" w:pos="1418"/>
        </w:tabs>
        <w:spacing w:line="360" w:lineRule="auto"/>
        <w:ind w:firstLine="480" w:firstLineChars="200"/>
        <w:rPr>
          <w:rFonts w:hint="eastAsia" w:ascii="宋体" w:hAnsi="宋体" w:cs="宋体"/>
          <w:sz w:val="24"/>
        </w:rPr>
      </w:pPr>
      <w:r>
        <w:rPr>
          <w:rFonts w:hint="eastAsia" w:ascii="宋体" w:hAnsi="宋体" w:cs="宋体"/>
          <w:sz w:val="24"/>
        </w:rPr>
        <w:t>甲方按照技术协议编制检测大纲。按照检测大纲的技术标准及质量要求，由采购方组织进行最终验收。验收合格不视为对质量的最终确认，在质量保证期内发现质量问题仍可提出异议。</w:t>
      </w:r>
    </w:p>
    <w:p w14:paraId="1C228CE3">
      <w:pPr>
        <w:tabs>
          <w:tab w:val="left" w:pos="993"/>
          <w:tab w:val="left" w:pos="1418"/>
        </w:tabs>
        <w:spacing w:line="360" w:lineRule="auto"/>
        <w:rPr>
          <w:rFonts w:hint="eastAsia" w:ascii="宋体" w:hAnsi="宋体" w:cs="宋体"/>
          <w:sz w:val="24"/>
        </w:rPr>
      </w:pPr>
      <w:bookmarkStart w:id="4" w:name="OLE_LINK4"/>
      <w:r>
        <w:rPr>
          <w:rFonts w:hint="eastAsia" w:ascii="宋体" w:hAnsi="宋体" w:cs="宋体"/>
          <w:sz w:val="24"/>
        </w:rPr>
        <w:t>★</w:t>
      </w:r>
      <w:bookmarkEnd w:id="4"/>
      <w:r>
        <w:rPr>
          <w:rFonts w:hint="eastAsia" w:ascii="宋体" w:hAnsi="宋体" w:cs="宋体"/>
          <w:sz w:val="24"/>
        </w:rPr>
        <w:t>7、付款方式</w:t>
      </w:r>
    </w:p>
    <w:p w14:paraId="7483A2C6">
      <w:pPr>
        <w:pStyle w:val="9"/>
        <w:widowControl/>
        <w:numPr>
          <w:ilvl w:val="0"/>
          <w:numId w:val="2"/>
        </w:numPr>
        <w:tabs>
          <w:tab w:val="left" w:pos="900"/>
        </w:tabs>
        <w:spacing w:line="360" w:lineRule="auto"/>
        <w:ind w:firstLineChars="0"/>
        <w:jc w:val="left"/>
        <w:rPr>
          <w:rFonts w:hint="eastAsia" w:ascii="宋体" w:hAnsi="宋体" w:cs="宋体"/>
          <w:bCs/>
        </w:rPr>
      </w:pPr>
      <w:r>
        <w:rPr>
          <w:rFonts w:hint="eastAsia" w:ascii="宋体" w:hAnsi="宋体" w:cs="宋体"/>
          <w:bCs/>
        </w:rPr>
        <w:t>合同签订生效后30日内，支付</w:t>
      </w:r>
      <w:r>
        <w:rPr>
          <w:rFonts w:ascii="宋体" w:hAnsi="宋体" w:cs="宋体"/>
          <w:bCs/>
        </w:rPr>
        <w:t>4</w:t>
      </w:r>
      <w:r>
        <w:rPr>
          <w:rFonts w:hint="eastAsia" w:ascii="宋体" w:hAnsi="宋体" w:cs="宋体"/>
          <w:bCs/>
        </w:rPr>
        <w:t>0%的货款。</w:t>
      </w:r>
    </w:p>
    <w:p w14:paraId="79087C9D">
      <w:pPr>
        <w:pStyle w:val="9"/>
        <w:widowControl/>
        <w:numPr>
          <w:ilvl w:val="0"/>
          <w:numId w:val="2"/>
        </w:numPr>
        <w:tabs>
          <w:tab w:val="left" w:pos="900"/>
        </w:tabs>
        <w:spacing w:line="360" w:lineRule="auto"/>
        <w:ind w:firstLineChars="0"/>
        <w:jc w:val="left"/>
        <w:rPr>
          <w:rFonts w:hint="eastAsia" w:ascii="宋体" w:hAnsi="宋体" w:cs="宋体"/>
          <w:bCs/>
        </w:rPr>
      </w:pPr>
      <w:r>
        <w:rPr>
          <w:rFonts w:hint="eastAsia" w:ascii="宋体" w:hAnsi="宋体" w:cs="宋体"/>
          <w:bCs/>
        </w:rPr>
        <w:t>中标人提供交互式工艺开发条件评估报告后，凭评估报告支付20%的货款</w:t>
      </w:r>
    </w:p>
    <w:p w14:paraId="55A18872">
      <w:pPr>
        <w:pStyle w:val="9"/>
        <w:widowControl/>
        <w:numPr>
          <w:ilvl w:val="0"/>
          <w:numId w:val="2"/>
        </w:numPr>
        <w:tabs>
          <w:tab w:val="left" w:pos="900"/>
        </w:tabs>
        <w:spacing w:line="360" w:lineRule="auto"/>
        <w:ind w:firstLineChars="0"/>
        <w:jc w:val="left"/>
        <w:rPr>
          <w:rFonts w:hint="eastAsia" w:ascii="宋体" w:hAnsi="宋体" w:cs="宋体"/>
          <w:bCs/>
        </w:rPr>
      </w:pPr>
      <w:r>
        <w:rPr>
          <w:rFonts w:hint="eastAsia" w:ascii="宋体" w:hAnsi="宋体" w:cs="宋体"/>
          <w:bCs/>
        </w:rPr>
        <w:t>采购人收到交互式流片微显示晶圆的检测报告后，凭采购方签字认可检测报告支付20%的货款。</w:t>
      </w:r>
    </w:p>
    <w:p w14:paraId="30FC6F88">
      <w:pPr>
        <w:pStyle w:val="9"/>
        <w:widowControl/>
        <w:numPr>
          <w:ilvl w:val="0"/>
          <w:numId w:val="2"/>
        </w:numPr>
        <w:tabs>
          <w:tab w:val="left" w:pos="900"/>
        </w:tabs>
        <w:spacing w:line="360" w:lineRule="auto"/>
        <w:ind w:firstLineChars="0"/>
        <w:jc w:val="left"/>
        <w:rPr>
          <w:rFonts w:hint="eastAsia" w:ascii="宋体" w:hAnsi="宋体" w:cs="宋体"/>
          <w:bCs/>
        </w:rPr>
      </w:pPr>
      <w:r>
        <w:rPr>
          <w:rFonts w:hint="eastAsia" w:ascii="宋体" w:hAnsi="宋体" w:cs="宋体"/>
          <w:bCs/>
        </w:rPr>
        <w:t>全部加工、测试及服务条款完成验收合格后，中标人向采购人开具合同全额增值税发票，采购人支付</w:t>
      </w:r>
      <w:r>
        <w:rPr>
          <w:rFonts w:ascii="宋体" w:hAnsi="宋体" w:cs="宋体"/>
          <w:bCs/>
        </w:rPr>
        <w:t>2</w:t>
      </w:r>
      <w:r>
        <w:rPr>
          <w:rFonts w:hint="eastAsia" w:ascii="宋体" w:hAnsi="宋体" w:cs="宋体"/>
          <w:bCs/>
        </w:rPr>
        <w:t>0%的货款。尾款支付并不免除中标人履行合同中约定质保服务的义务。</w:t>
      </w:r>
    </w:p>
    <w:p w14:paraId="5F4F8062">
      <w:pPr>
        <w:pStyle w:val="5"/>
        <w:spacing w:before="0" w:beforeAutospacing="0" w:after="0" w:afterAutospacing="0" w:line="360" w:lineRule="auto"/>
        <w:ind w:firstLine="480" w:firstLineChars="200"/>
        <w:rPr>
          <w:rFonts w:hint="eastAsia" w:ascii="宋体" w:hAnsi="宋体" w:eastAsia="宋体" w:cs="宋体"/>
          <w:lang w:bidi="ar"/>
        </w:rPr>
      </w:pPr>
      <w:r>
        <w:rPr>
          <w:rFonts w:hint="eastAsia" w:ascii="宋体" w:hAnsi="宋体" w:eastAsia="宋体" w:cs="宋体"/>
          <w:lang w:bidi="ar"/>
        </w:rPr>
        <w:t xml:space="preserve">本合同所有费用的支付以银行电汇或银行转帐。每次付款前中标方需开具相应款项的发票之后，采购方支付相应款项 </w:t>
      </w:r>
    </w:p>
    <w:p w14:paraId="07FD107D">
      <w:pPr>
        <w:pStyle w:val="5"/>
        <w:spacing w:before="0" w:beforeAutospacing="0" w:after="0" w:afterAutospacing="0" w:line="360" w:lineRule="auto"/>
        <w:ind w:firstLine="480" w:firstLineChars="200"/>
        <w:rPr>
          <w:rFonts w:hint="eastAsia" w:ascii="宋体" w:hAnsi="宋体" w:eastAsia="宋体" w:cs="宋体"/>
        </w:rPr>
      </w:pPr>
    </w:p>
    <w:p w14:paraId="126E3992">
      <w:pPr>
        <w:spacing w:after="156" w:afterLines="50" w:line="360" w:lineRule="auto"/>
        <w:rPr>
          <w:rFonts w:hint="eastAsia" w:ascii="宋体" w:hAnsi="宋体" w:cs="宋体"/>
          <w:sz w:val="24"/>
        </w:rPr>
      </w:pPr>
      <w:r>
        <w:rPr>
          <w:rFonts w:hint="eastAsia" w:ascii="宋体" w:hAnsi="宋体" w:cs="宋体"/>
          <w:sz w:val="24"/>
        </w:rPr>
        <w:t>★8、投标报价范围</w:t>
      </w:r>
    </w:p>
    <w:p w14:paraId="29A34552">
      <w:pPr>
        <w:spacing w:after="156" w:afterLines="50" w:line="360" w:lineRule="auto"/>
        <w:ind w:firstLine="480" w:firstLineChars="200"/>
        <w:rPr>
          <w:rFonts w:hint="eastAsia" w:ascii="宋体" w:hAnsi="宋体" w:cs="宋体"/>
          <w:sz w:val="24"/>
        </w:rPr>
      </w:pPr>
      <w:r>
        <w:rPr>
          <w:rFonts w:hint="eastAsia" w:ascii="宋体" w:hAnsi="宋体" w:cs="宋体"/>
          <w:sz w:val="24"/>
        </w:rPr>
        <w:t>1. 此次投标所技术服务所涉及的所有费用，包括但不限于微显示芯片授权费用、交互式工艺开发服务、设计费用、样品加工、验收、管理费用等；</w:t>
      </w:r>
    </w:p>
    <w:p w14:paraId="77A725DD">
      <w:pPr>
        <w:spacing w:after="156" w:afterLines="50" w:line="360" w:lineRule="auto"/>
        <w:ind w:firstLine="480" w:firstLineChars="200"/>
        <w:rPr>
          <w:rFonts w:hint="eastAsia" w:ascii="宋体" w:hAnsi="宋体" w:cs="宋体"/>
          <w:sz w:val="24"/>
        </w:rPr>
      </w:pPr>
      <w:r>
        <w:rPr>
          <w:rFonts w:hint="eastAsia" w:ascii="宋体" w:hAnsi="宋体" w:cs="宋体"/>
          <w:sz w:val="24"/>
        </w:rPr>
        <w:t>2. 交付物件及验收涉及的所有费用；</w:t>
      </w:r>
    </w:p>
    <w:p w14:paraId="62648FA3">
      <w:pPr>
        <w:spacing w:after="156" w:afterLines="50" w:line="360" w:lineRule="auto"/>
        <w:ind w:firstLine="480" w:firstLineChars="200"/>
        <w:rPr>
          <w:rFonts w:hint="eastAsia" w:ascii="宋体" w:hAnsi="宋体" w:cs="宋体"/>
          <w:sz w:val="24"/>
        </w:rPr>
      </w:pPr>
      <w:r>
        <w:rPr>
          <w:rFonts w:hint="eastAsia" w:ascii="宋体" w:hAnsi="宋体" w:cs="宋体"/>
          <w:sz w:val="24"/>
        </w:rPr>
        <w:t>3. 运抵中标方的运输费、保险费和伴随货物交运的有关费用；</w:t>
      </w:r>
    </w:p>
    <w:p w14:paraId="46E73FE6">
      <w:pPr>
        <w:spacing w:after="156" w:afterLines="50" w:line="360" w:lineRule="auto"/>
        <w:ind w:firstLine="480" w:firstLineChars="200"/>
        <w:rPr>
          <w:rFonts w:hint="eastAsia" w:ascii="宋体" w:hAnsi="宋体" w:cs="宋体"/>
          <w:sz w:val="24"/>
        </w:rPr>
      </w:pPr>
      <w:r>
        <w:rPr>
          <w:rFonts w:hint="eastAsia" w:ascii="宋体" w:hAnsi="宋体" w:cs="宋体"/>
          <w:sz w:val="24"/>
        </w:rPr>
        <w:t>4. 其他伴随服务费用芯片性能展示涉及到的条件投入、培训等其他所有费用，投标人所有工艺开发中投入的人力费用；</w:t>
      </w:r>
    </w:p>
    <w:p w14:paraId="308B32AC">
      <w:pPr>
        <w:spacing w:after="156" w:afterLines="50" w:line="360" w:lineRule="auto"/>
        <w:ind w:firstLine="480" w:firstLineChars="200"/>
        <w:rPr>
          <w:rFonts w:hint="eastAsia" w:ascii="宋体" w:hAnsi="宋体" w:cs="宋体"/>
          <w:sz w:val="24"/>
        </w:rPr>
      </w:pPr>
      <w:r>
        <w:rPr>
          <w:rFonts w:hint="eastAsia" w:ascii="宋体" w:hAnsi="宋体" w:cs="宋体"/>
          <w:sz w:val="24"/>
        </w:rPr>
        <w:t>5. 采购人不再另行支付其他任何费用。</w:t>
      </w:r>
    </w:p>
    <w:p w14:paraId="6723BB56">
      <w:pPr>
        <w:rPr>
          <w:rFonts w:hint="eastAsia" w:ascii="宋体" w:hAnsi="宋体"/>
          <w:b/>
          <w:bCs/>
          <w:kern w:val="0"/>
          <w:sz w:val="36"/>
          <w:szCs w:val="36"/>
        </w:rPr>
      </w:pPr>
      <w:r>
        <w:rPr>
          <w:rFonts w:hint="eastAsia" w:ascii="宋体" w:hAnsi="宋体"/>
          <w:b/>
          <w:bCs/>
          <w:kern w:val="0"/>
          <w:sz w:val="36"/>
          <w:szCs w:val="36"/>
        </w:rPr>
        <w:br w:type="page"/>
      </w:r>
    </w:p>
    <w:p w14:paraId="55F480DE">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A7ECA"/>
    <w:multiLevelType w:val="singleLevel"/>
    <w:tmpl w:val="D1CA7ECA"/>
    <w:lvl w:ilvl="0" w:tentative="0">
      <w:start w:val="1"/>
      <w:numFmt w:val="decimal"/>
      <w:lvlText w:val="%1."/>
      <w:lvlJc w:val="left"/>
      <w:pPr>
        <w:tabs>
          <w:tab w:val="left" w:pos="3289"/>
        </w:tabs>
      </w:pPr>
      <w:rPr>
        <w:rFonts w:ascii="Times New Roman" w:hAnsi="Times New Roman" w:eastAsia="宋体" w:cs="Times New Roman"/>
      </w:rPr>
    </w:lvl>
  </w:abstractNum>
  <w:abstractNum w:abstractNumId="1">
    <w:nsid w:val="5EB22730"/>
    <w:multiLevelType w:val="singleLevel"/>
    <w:tmpl w:val="5EB22730"/>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CF7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tabs>
        <w:tab w:val="left" w:pos="567"/>
      </w:tabs>
      <w:spacing w:before="120" w:line="22" w:lineRule="atLeast"/>
    </w:pPr>
    <w:rPr>
      <w:rFonts w:ascii="宋体" w:hAnsi="宋体"/>
      <w:sz w:val="24"/>
    </w:r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6">
    <w:name w:val="Body Text First Indent 2"/>
    <w:basedOn w:val="3"/>
    <w:qFormat/>
    <w:uiPriority w:val="0"/>
    <w:pPr>
      <w:ind w:firstLine="420" w:firstLineChars="200"/>
    </w:pPr>
  </w:style>
  <w:style w:type="paragraph" w:styleId="9">
    <w:name w:val="List Paragraph"/>
    <w:basedOn w:val="1"/>
    <w:autoRedefine/>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2026-07-10T02:00:27Z</dcterms:created>
  <dc:creator>PC</dc:creator>
  <cp:lastModifiedBy>东方招标</cp:lastModifiedBy>
  <dcterms:modified xsi:type="dcterms:W3CDTF">2026-07-10T02:00:39Z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eyJoZGlkIjoiOTk0ZWY0MjU0ODUyZGEyMzgwZGYwZWFkY2FmY2RmMmUiLCJ1c2VySWQiOiIyMDE2OTM2MTEifQ==</vt:lpwstr>
  </property>
  <property fmtid="{D5CDD505-2E9C-101B-9397-08002B2CF9AE}" pid="4" name="ICV">
    <vt:lpwstr>3BC895A1A3D14C15ACEEDBBC746876BB_12</vt:lpwstr>
  </property>
</Properties>
</file>