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06B9A8">
      <w:pPr>
        <w:numPr>
          <w:numId w:val="0"/>
        </w:numPr>
        <w:autoSpaceDE w:val="0"/>
        <w:autoSpaceDN w:val="0"/>
        <w:adjustRightInd w:val="0"/>
        <w:spacing w:line="360" w:lineRule="auto"/>
        <w:jc w:val="center"/>
        <w:outlineLvl w:val="0"/>
        <w:rPr>
          <w:rFonts w:ascii="宋体" w:hAnsi="宋体" w:eastAsia="宋体" w:cs="宋体"/>
          <w:b/>
          <w:bCs/>
          <w:kern w:val="0"/>
          <w:sz w:val="44"/>
          <w:szCs w:val="44"/>
          <w:lang w:val="zh-CN"/>
        </w:rPr>
      </w:pPr>
      <w:r>
        <w:rPr>
          <w:rFonts w:hint="eastAsia" w:ascii="宋体" w:hAnsi="宋体" w:eastAsia="宋体" w:cs="宋体"/>
          <w:b/>
          <w:bCs/>
          <w:kern w:val="0"/>
          <w:sz w:val="44"/>
          <w:szCs w:val="44"/>
          <w:lang w:val="zh-CN"/>
        </w:rPr>
        <w:t>项目需求</w:t>
      </w:r>
      <w:bookmarkStart w:id="0" w:name="OLE_LINK1"/>
    </w:p>
    <w:p w14:paraId="7D0D4336">
      <w:pPr>
        <w:autoSpaceDE w:val="0"/>
        <w:autoSpaceDN w:val="0"/>
        <w:adjustRightInd w:val="0"/>
        <w:spacing w:line="360" w:lineRule="auto"/>
        <w:outlineLvl w:val="0"/>
        <w:rPr>
          <w:rFonts w:ascii="宋体" w:hAnsi="宋体" w:eastAsia="宋体" w:cs="宋体"/>
          <w:b/>
          <w:bCs/>
          <w:kern w:val="0"/>
          <w:sz w:val="44"/>
          <w:szCs w:val="44"/>
          <w:lang w:val="zh-CN"/>
        </w:rPr>
      </w:pPr>
    </w:p>
    <w:p w14:paraId="7A93E52A">
      <w:pPr>
        <w:widowControl/>
        <w:snapToGrid w:val="0"/>
        <w:spacing w:before="156" w:beforeLines="50" w:line="360" w:lineRule="auto"/>
        <w:rPr>
          <w:rFonts w:asciiTheme="minorEastAsia" w:hAnsiTheme="minorEastAsia" w:cstheme="minorEastAsia"/>
          <w:b/>
          <w:sz w:val="24"/>
          <w:szCs w:val="24"/>
        </w:rPr>
      </w:pPr>
      <w:bookmarkStart w:id="7" w:name="_GoBack"/>
      <w:bookmarkEnd w:id="7"/>
    </w:p>
    <w:bookmarkEnd w:id="0"/>
    <w:p w14:paraId="09390781">
      <w:pPr>
        <w:keepNext/>
        <w:keepLines/>
        <w:spacing w:before="240" w:after="120" w:line="300" w:lineRule="auto"/>
        <w:ind w:left="700" w:firstLine="321"/>
        <w:jc w:val="center"/>
        <w:outlineLvl w:val="1"/>
        <w:rPr>
          <w:rFonts w:ascii="Times New Roman" w:hAnsi="Times New Roman" w:eastAsia="宋体" w:cs="Times New Roman"/>
          <w:b/>
          <w:bCs/>
          <w:sz w:val="32"/>
          <w:szCs w:val="32"/>
        </w:rPr>
      </w:pPr>
      <w:r>
        <w:rPr>
          <w:rFonts w:ascii="Times New Roman" w:hAnsi="Times New Roman" w:eastAsia="宋体" w:cs="Times New Roman"/>
          <w:b/>
          <w:bCs/>
          <w:sz w:val="32"/>
          <w:szCs w:val="32"/>
        </w:rPr>
        <w:t>一、货物需求一览表</w:t>
      </w:r>
    </w:p>
    <w:p w14:paraId="6BE18A6C">
      <w:pPr>
        <w:adjustRightInd w:val="0"/>
        <w:snapToGrid w:val="0"/>
        <w:ind w:left="657" w:firstLine="301"/>
        <w:jc w:val="center"/>
        <w:rPr>
          <w:rFonts w:ascii="Times New Roman" w:hAnsi="Times New Roman" w:eastAsia="宋体" w:cs="Times New Roman"/>
          <w:b/>
          <w:color w:val="000000"/>
          <w:sz w:val="30"/>
          <w:szCs w:val="30"/>
        </w:rPr>
      </w:pPr>
    </w:p>
    <w:tbl>
      <w:tblPr>
        <w:tblStyle w:val="5"/>
        <w:tblW w:w="92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762"/>
        <w:gridCol w:w="2908"/>
        <w:gridCol w:w="930"/>
        <w:gridCol w:w="2150"/>
        <w:gridCol w:w="2521"/>
      </w:tblGrid>
      <w:tr w14:paraId="094C74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96" w:hRule="atLeast"/>
          <w:jc w:val="center"/>
        </w:trPr>
        <w:tc>
          <w:tcPr>
            <w:tcW w:w="762" w:type="dxa"/>
            <w:vAlign w:val="center"/>
          </w:tcPr>
          <w:p w14:paraId="468831AB">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包号</w:t>
            </w:r>
          </w:p>
        </w:tc>
        <w:tc>
          <w:tcPr>
            <w:tcW w:w="2908" w:type="dxa"/>
            <w:vAlign w:val="center"/>
          </w:tcPr>
          <w:p w14:paraId="71E63E44">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货物名称</w:t>
            </w:r>
          </w:p>
        </w:tc>
        <w:tc>
          <w:tcPr>
            <w:tcW w:w="930" w:type="dxa"/>
            <w:vAlign w:val="center"/>
          </w:tcPr>
          <w:p w14:paraId="28EFAC0B">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数量</w:t>
            </w:r>
          </w:p>
        </w:tc>
        <w:tc>
          <w:tcPr>
            <w:tcW w:w="2150" w:type="dxa"/>
            <w:vAlign w:val="center"/>
          </w:tcPr>
          <w:p w14:paraId="0DA7E6DC">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交货期</w:t>
            </w:r>
          </w:p>
        </w:tc>
        <w:tc>
          <w:tcPr>
            <w:tcW w:w="2521" w:type="dxa"/>
            <w:vAlign w:val="center"/>
          </w:tcPr>
          <w:p w14:paraId="7D50369F">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交货地点</w:t>
            </w:r>
          </w:p>
        </w:tc>
      </w:tr>
      <w:tr w14:paraId="5B5DA1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27" w:hRule="atLeast"/>
          <w:jc w:val="center"/>
        </w:trPr>
        <w:tc>
          <w:tcPr>
            <w:tcW w:w="762" w:type="dxa"/>
            <w:vAlign w:val="center"/>
          </w:tcPr>
          <w:p w14:paraId="551E9E14">
            <w:pPr>
              <w:jc w:val="center"/>
              <w:rPr>
                <w:rFonts w:ascii="宋体" w:hAnsi="Times New Roman" w:eastAsia="宋体" w:cs="Times New Roman"/>
                <w:sz w:val="24"/>
                <w:szCs w:val="24"/>
              </w:rPr>
            </w:pPr>
            <w:r>
              <w:rPr>
                <w:rFonts w:hint="eastAsia" w:ascii="宋体" w:hAnsi="Times New Roman" w:eastAsia="宋体" w:cs="Times New Roman"/>
                <w:sz w:val="24"/>
                <w:szCs w:val="24"/>
              </w:rPr>
              <w:t>1</w:t>
            </w:r>
          </w:p>
        </w:tc>
        <w:tc>
          <w:tcPr>
            <w:tcW w:w="2908" w:type="dxa"/>
            <w:vAlign w:val="center"/>
          </w:tcPr>
          <w:p w14:paraId="12A352F7">
            <w:pPr>
              <w:jc w:val="center"/>
              <w:rPr>
                <w:rFonts w:ascii="Bookman Old Style" w:hAnsi="Bookman Old Style" w:eastAsia="宋体" w:cs="Times New Roman"/>
                <w:sz w:val="24"/>
                <w:szCs w:val="24"/>
              </w:rPr>
            </w:pPr>
            <w:r>
              <w:rPr>
                <w:rFonts w:hint="eastAsia" w:ascii="Times New Roman" w:hAnsi="Times New Roman"/>
                <w:bCs/>
                <w:sz w:val="24"/>
              </w:rPr>
              <w:t>模板表面平坦化处理设备</w:t>
            </w:r>
          </w:p>
        </w:tc>
        <w:tc>
          <w:tcPr>
            <w:tcW w:w="930" w:type="dxa"/>
            <w:vAlign w:val="center"/>
          </w:tcPr>
          <w:p w14:paraId="1EB27E36">
            <w:pPr>
              <w:jc w:val="center"/>
              <w:rPr>
                <w:rFonts w:ascii="宋体" w:hAnsi="Bookman Old Style" w:eastAsia="宋体" w:cs="Times New Roman"/>
                <w:sz w:val="24"/>
                <w:szCs w:val="24"/>
              </w:rPr>
            </w:pPr>
            <w:r>
              <w:rPr>
                <w:rFonts w:ascii="宋体" w:hAnsi="Bookman Old Style" w:eastAsia="宋体" w:cs="Times New Roman"/>
                <w:sz w:val="24"/>
                <w:szCs w:val="24"/>
              </w:rPr>
              <w:t>1</w:t>
            </w:r>
            <w:r>
              <w:rPr>
                <w:rFonts w:hint="eastAsia" w:ascii="宋体" w:hAnsi="Bookman Old Style" w:eastAsia="宋体" w:cs="Times New Roman"/>
                <w:sz w:val="24"/>
                <w:szCs w:val="24"/>
              </w:rPr>
              <w:t>套</w:t>
            </w:r>
          </w:p>
        </w:tc>
        <w:tc>
          <w:tcPr>
            <w:tcW w:w="2150" w:type="dxa"/>
            <w:vAlign w:val="center"/>
          </w:tcPr>
          <w:p w14:paraId="40A0A519">
            <w:pPr>
              <w:jc w:val="center"/>
              <w:rPr>
                <w:rFonts w:ascii="宋体" w:hAnsi="Bookman Old Style" w:eastAsia="宋体" w:cs="Times New Roman"/>
                <w:sz w:val="24"/>
                <w:szCs w:val="24"/>
              </w:rPr>
            </w:pPr>
            <w:r>
              <w:rPr>
                <w:rFonts w:hint="eastAsia" w:ascii="宋体" w:hAnsi="Bookman Old Style" w:eastAsia="宋体" w:cs="Times New Roman"/>
                <w:sz w:val="24"/>
                <w:szCs w:val="24"/>
              </w:rPr>
              <w:t>合同签订后</w:t>
            </w:r>
            <w:r>
              <w:rPr>
                <w:rFonts w:ascii="宋体" w:hAnsi="Bookman Old Style" w:eastAsia="宋体" w:cs="Times New Roman"/>
                <w:sz w:val="24"/>
                <w:szCs w:val="24"/>
              </w:rPr>
              <w:t>5</w:t>
            </w:r>
            <w:r>
              <w:rPr>
                <w:rFonts w:hint="eastAsia" w:ascii="宋体" w:hAnsi="Bookman Old Style" w:eastAsia="宋体" w:cs="Times New Roman"/>
                <w:sz w:val="24"/>
                <w:szCs w:val="24"/>
              </w:rPr>
              <w:t>个月</w:t>
            </w:r>
          </w:p>
        </w:tc>
        <w:tc>
          <w:tcPr>
            <w:tcW w:w="2521" w:type="dxa"/>
            <w:vAlign w:val="center"/>
          </w:tcPr>
          <w:p w14:paraId="6DEA94DC">
            <w:pPr>
              <w:jc w:val="center"/>
              <w:rPr>
                <w:rFonts w:ascii="宋体" w:hAnsi="Bookman Old Style" w:eastAsia="宋体" w:cs="Times New Roman"/>
                <w:sz w:val="24"/>
                <w:szCs w:val="24"/>
              </w:rPr>
            </w:pPr>
            <w:r>
              <w:rPr>
                <w:rFonts w:hint="eastAsia" w:ascii="宋体" w:hAnsi="Bookman Old Style" w:eastAsia="宋体" w:cs="Times New Roman"/>
                <w:sz w:val="24"/>
                <w:szCs w:val="24"/>
              </w:rPr>
              <w:t>中国科学院光电技术研究所</w:t>
            </w:r>
          </w:p>
        </w:tc>
      </w:tr>
    </w:tbl>
    <w:p w14:paraId="320A7735">
      <w:pPr>
        <w:pStyle w:val="4"/>
        <w:ind w:firstLine="0" w:firstLineChars="0"/>
      </w:pPr>
    </w:p>
    <w:p w14:paraId="568C0AD0">
      <w:pPr>
        <w:spacing w:line="360" w:lineRule="auto"/>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注：</w:t>
      </w:r>
    </w:p>
    <w:p w14:paraId="5587B03E">
      <w:pPr>
        <w:spacing w:line="360" w:lineRule="auto"/>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1、本项目共一个包，</w:t>
      </w:r>
      <w:r>
        <w:rPr>
          <w:rFonts w:ascii="Times New Roman" w:hAnsi="Times New Roman" w:eastAsia="宋体" w:cs="Times New Roman"/>
          <w:color w:val="000000"/>
          <w:sz w:val="24"/>
          <w:szCs w:val="24"/>
        </w:rPr>
        <w:t>投标人须对上述投标内容中完整的一包进行投标</w:t>
      </w:r>
      <w:r>
        <w:rPr>
          <w:rFonts w:hint="eastAsia" w:ascii="Times New Roman" w:hAnsi="Times New Roman" w:eastAsia="宋体" w:cs="Times New Roman"/>
          <w:color w:val="000000"/>
          <w:sz w:val="24"/>
          <w:szCs w:val="24"/>
        </w:rPr>
        <w:t>响应</w:t>
      </w:r>
      <w:r>
        <w:rPr>
          <w:rFonts w:ascii="Times New Roman" w:hAnsi="Times New Roman" w:eastAsia="宋体" w:cs="Times New Roman"/>
          <w:color w:val="000000"/>
          <w:sz w:val="24"/>
          <w:szCs w:val="24"/>
        </w:rPr>
        <w:t>，不完整的投标将视为非响应性投标予以拒绝。</w:t>
      </w:r>
    </w:p>
    <w:p w14:paraId="51811CD4">
      <w:pPr>
        <w:spacing w:line="360" w:lineRule="auto"/>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2、核心产品：6英寸</w:t>
      </w:r>
      <w:r>
        <w:rPr>
          <w:rFonts w:hint="eastAsia" w:ascii="宋体" w:hAnsi="宋体"/>
          <w:sz w:val="24"/>
        </w:rPr>
        <w:t>抛光头</w:t>
      </w:r>
    </w:p>
    <w:p w14:paraId="613BD6D7">
      <w:pPr>
        <w:adjustRightInd w:val="0"/>
        <w:snapToGrid w:val="0"/>
        <w:ind w:left="657" w:firstLine="301"/>
        <w:jc w:val="center"/>
        <w:rPr>
          <w:rFonts w:ascii="Times New Roman" w:hAnsi="Times New Roman" w:eastAsia="宋体" w:cs="Times New Roman"/>
          <w:b/>
          <w:color w:val="000000"/>
          <w:sz w:val="30"/>
          <w:szCs w:val="30"/>
        </w:rPr>
      </w:pPr>
    </w:p>
    <w:p w14:paraId="4FADF08A">
      <w:pPr>
        <w:spacing w:after="120"/>
        <w:ind w:left="420" w:leftChars="200" w:firstLine="420" w:firstLineChars="200"/>
        <w:rPr>
          <w:rFonts w:ascii="Times New Roman" w:hAnsi="Times New Roman" w:eastAsia="宋体" w:cs="Times New Roman"/>
          <w:szCs w:val="24"/>
        </w:rPr>
      </w:pPr>
    </w:p>
    <w:p w14:paraId="5EF1B054">
      <w:pPr>
        <w:widowControl/>
        <w:ind w:left="698" w:firstLine="320"/>
        <w:jc w:val="left"/>
        <w:rPr>
          <w:rFonts w:ascii="Times New Roman" w:hAnsi="Times New Roman" w:eastAsia="宋体" w:cs="Times New Roman"/>
          <w:b/>
          <w:bCs/>
          <w:sz w:val="32"/>
          <w:szCs w:val="32"/>
        </w:rPr>
      </w:pPr>
      <w:r>
        <w:rPr>
          <w:rFonts w:ascii="Times New Roman" w:hAnsi="Times New Roman" w:eastAsia="宋体" w:cs="Times New Roman"/>
          <w:bCs/>
          <w:sz w:val="32"/>
          <w:szCs w:val="32"/>
        </w:rPr>
        <w:br w:type="page"/>
      </w:r>
    </w:p>
    <w:p w14:paraId="79066A51">
      <w:pPr>
        <w:keepNext/>
        <w:keepLines/>
        <w:spacing w:before="240" w:after="120" w:line="300" w:lineRule="auto"/>
        <w:ind w:left="700" w:firstLine="321"/>
        <w:jc w:val="center"/>
        <w:outlineLvl w:val="1"/>
        <w:rPr>
          <w:rFonts w:ascii="Times New Roman" w:hAnsi="Times New Roman" w:eastAsia="宋体" w:cs="Times New Roman"/>
          <w:b/>
          <w:bCs/>
          <w:sz w:val="32"/>
          <w:szCs w:val="32"/>
        </w:rPr>
      </w:pPr>
      <w:r>
        <w:rPr>
          <w:rFonts w:hint="eastAsia" w:ascii="Times New Roman" w:hAnsi="Times New Roman" w:eastAsia="宋体" w:cs="Times New Roman"/>
          <w:b/>
          <w:bCs/>
          <w:sz w:val="32"/>
          <w:szCs w:val="32"/>
        </w:rPr>
        <w:t>二、总则</w:t>
      </w:r>
    </w:p>
    <w:p w14:paraId="0629A389">
      <w:pPr>
        <w:autoSpaceDE w:val="0"/>
        <w:autoSpaceDN w:val="0"/>
        <w:adjustRightInd w:val="0"/>
        <w:ind w:firstLine="240"/>
        <w:jc w:val="left"/>
        <w:rPr>
          <w:rFonts w:ascii="宋体" w:hAnsi="Times New Roman" w:eastAsia="宋体" w:cs="Times New Roman"/>
          <w:kern w:val="0"/>
          <w:sz w:val="24"/>
          <w:szCs w:val="20"/>
        </w:rPr>
      </w:pPr>
    </w:p>
    <w:p w14:paraId="067366DC">
      <w:pPr>
        <w:spacing w:line="360" w:lineRule="auto"/>
        <w:rPr>
          <w:rFonts w:ascii="宋体" w:hAnsi="宋体" w:eastAsia="宋体" w:cs="Times New Roman"/>
          <w:bCs/>
          <w:sz w:val="24"/>
          <w:szCs w:val="24"/>
        </w:rPr>
      </w:pPr>
      <w:bookmarkStart w:id="1" w:name="_Hlk108442230"/>
      <w:r>
        <w:rPr>
          <w:rFonts w:hint="eastAsia" w:ascii="宋体" w:hAnsi="宋体" w:eastAsia="宋体" w:cs="Times New Roman"/>
          <w:bCs/>
          <w:sz w:val="24"/>
          <w:szCs w:val="24"/>
        </w:rPr>
        <w:t>1、投标要求</w:t>
      </w:r>
    </w:p>
    <w:p w14:paraId="143DC038">
      <w:pPr>
        <w:spacing w:line="360" w:lineRule="auto"/>
        <w:rPr>
          <w:rFonts w:ascii="宋体" w:hAnsi="宋体" w:eastAsia="宋体" w:cs="Times New Roman"/>
          <w:bCs/>
          <w:sz w:val="24"/>
          <w:szCs w:val="24"/>
        </w:rPr>
      </w:pPr>
      <w:r>
        <w:rPr>
          <w:rFonts w:hint="eastAsia" w:ascii="宋体" w:hAnsi="宋体" w:eastAsia="宋体" w:cs="Times New Roman"/>
          <w:bCs/>
          <w:sz w:val="24"/>
          <w:szCs w:val="24"/>
        </w:rPr>
        <w:t>1.1  投标人在准备投标书时，务必在所提供的商品的技术规格文件中，标明型号、商标名称、目录号。</w:t>
      </w:r>
    </w:p>
    <w:p w14:paraId="2003E3F6">
      <w:pPr>
        <w:spacing w:line="360" w:lineRule="auto"/>
        <w:rPr>
          <w:rFonts w:ascii="宋体" w:hAnsi="宋体" w:eastAsia="宋体" w:cs="Times New Roman"/>
          <w:bCs/>
          <w:sz w:val="24"/>
          <w:szCs w:val="24"/>
        </w:rPr>
      </w:pPr>
      <w:r>
        <w:rPr>
          <w:rFonts w:hint="eastAsia" w:ascii="宋体" w:hAnsi="宋体" w:eastAsia="宋体" w:cs="Times New Roman"/>
          <w:bCs/>
          <w:sz w:val="24"/>
          <w:szCs w:val="24"/>
        </w:rPr>
        <w:t xml:space="preserve">1.2  </w:t>
      </w:r>
      <w:r>
        <w:rPr>
          <w:rFonts w:hint="eastAsia" w:ascii="宋体" w:hAnsi="宋体" w:eastAsia="宋体" w:cs="Times New Roman"/>
          <w:b/>
          <w:sz w:val="24"/>
          <w:szCs w:val="24"/>
        </w:rPr>
        <w:t>投标人提供的货物须是成熟的全新的产品</w:t>
      </w:r>
      <w:r>
        <w:rPr>
          <w:rFonts w:hint="eastAsia" w:ascii="宋体" w:hAnsi="宋体" w:eastAsia="宋体" w:cs="Times New Roman"/>
          <w:bCs/>
          <w:sz w:val="24"/>
          <w:szCs w:val="24"/>
        </w:rPr>
        <w:t>，其技术规格应符合招标文件的要求。如与招标文件的技术规格有偏差，应提供技术规格偏差的量值或说明（偏离表）。如投标人有意隐瞒对规格要求的偏差或在开标后提出新的偏差，采购人有权拒绝其投标。</w:t>
      </w:r>
    </w:p>
    <w:p w14:paraId="504D1002">
      <w:pPr>
        <w:spacing w:line="360" w:lineRule="auto"/>
        <w:rPr>
          <w:rFonts w:ascii="宋体" w:hAnsi="宋体" w:eastAsia="宋体" w:cs="Times New Roman"/>
          <w:bCs/>
          <w:sz w:val="24"/>
          <w:szCs w:val="24"/>
        </w:rPr>
      </w:pPr>
      <w:r>
        <w:rPr>
          <w:rFonts w:hint="eastAsia" w:ascii="宋体" w:hAnsi="宋体" w:eastAsia="宋体" w:cs="Times New Roman"/>
          <w:bCs/>
          <w:sz w:val="24"/>
          <w:szCs w:val="24"/>
        </w:rPr>
        <w:t>1.3  投标人提供的产品样本（如技术文件、官方彩页等）、图表、简图、电路图以及印刷电路板图等都应清晰易读，可以是英文版本，但必须提供中文译文件，当中英文冲突时以中文文件为准。采购人有权不付任何附加费用复制这些资料以供参考。</w:t>
      </w:r>
    </w:p>
    <w:p w14:paraId="376C0D0B">
      <w:pPr>
        <w:spacing w:line="360" w:lineRule="auto"/>
        <w:rPr>
          <w:rFonts w:ascii="宋体" w:hAnsi="宋体" w:eastAsia="宋体" w:cs="Times New Roman"/>
          <w:bCs/>
          <w:sz w:val="24"/>
          <w:szCs w:val="24"/>
        </w:rPr>
      </w:pPr>
      <w:r>
        <w:rPr>
          <w:rFonts w:hint="eastAsia" w:ascii="宋体" w:hAnsi="宋体" w:eastAsia="宋体" w:cs="Times New Roman"/>
          <w:bCs/>
          <w:sz w:val="24"/>
          <w:szCs w:val="24"/>
        </w:rPr>
        <w:t>1.4  投标人的投标产品应符合国家有关部门规定的相应技术、计量、节能、安全和环保法规及标准；如国家有关部门对投标人的投标产品有强制性规定或要求的，则投标人的投标产品必须符合相应规定或要求，投标人须提供相关证明文件的复印件。</w:t>
      </w:r>
    </w:p>
    <w:p w14:paraId="473D438D">
      <w:pPr>
        <w:spacing w:line="360" w:lineRule="auto"/>
        <w:rPr>
          <w:rFonts w:ascii="宋体" w:hAnsi="宋体" w:eastAsia="宋体" w:cs="Times New Roman"/>
          <w:bCs/>
          <w:sz w:val="24"/>
          <w:szCs w:val="24"/>
        </w:rPr>
      </w:pPr>
      <w:r>
        <w:rPr>
          <w:rFonts w:hint="eastAsia" w:ascii="宋体" w:hAnsi="宋体" w:eastAsia="宋体" w:cs="Times New Roman"/>
          <w:bCs/>
          <w:sz w:val="24"/>
          <w:szCs w:val="24"/>
        </w:rPr>
        <w:t>2、评标标准</w:t>
      </w:r>
    </w:p>
    <w:p w14:paraId="145548EC">
      <w:pPr>
        <w:spacing w:line="360" w:lineRule="auto"/>
        <w:rPr>
          <w:rFonts w:ascii="宋体" w:hAnsi="宋体"/>
          <w:bCs/>
          <w:sz w:val="24"/>
        </w:rPr>
      </w:pPr>
      <w:r>
        <w:rPr>
          <w:rFonts w:hint="eastAsia" w:ascii="宋体" w:hAnsi="宋体"/>
          <w:bCs/>
          <w:sz w:val="24"/>
        </w:rPr>
        <w:t>2.1  除招标文件中指定的附件和专用工具外，投标人应提供货物的正常运行和常规保养所需的全套标准附件、专用工具和消耗品。投标人在投标函中需列出这些附件和工具的数量和单价的清单，这些附件和工具的报价的总值需计入投标价中。</w:t>
      </w:r>
    </w:p>
    <w:p w14:paraId="26DB5144">
      <w:pPr>
        <w:spacing w:line="360" w:lineRule="auto"/>
        <w:rPr>
          <w:rFonts w:ascii="宋体" w:hAnsi="宋体"/>
          <w:bCs/>
          <w:sz w:val="24"/>
        </w:rPr>
      </w:pPr>
      <w:r>
        <w:rPr>
          <w:rFonts w:hint="eastAsia" w:ascii="宋体" w:hAnsi="宋体"/>
          <w:bCs/>
          <w:sz w:val="24"/>
        </w:rPr>
        <w:t>2.2  对于标书技术规范中已列出的作为查询选件的附件、零配件、专用工具和消耗品，投标函中应列明其数量、单价、总价供采购人参考。投标人也可推荐采购人没有要求的附件或专用工具作为选件，并列明其数量、单价、总价供采购人参考。选件价格不计入评标价中。</w:t>
      </w:r>
    </w:p>
    <w:p w14:paraId="46C954C6">
      <w:pPr>
        <w:spacing w:line="360" w:lineRule="auto"/>
        <w:rPr>
          <w:rFonts w:ascii="宋体" w:hAnsi="宋体" w:eastAsia="宋体" w:cs="Times New Roman"/>
          <w:bCs/>
          <w:sz w:val="24"/>
          <w:szCs w:val="24"/>
        </w:rPr>
      </w:pPr>
      <w:r>
        <w:rPr>
          <w:rFonts w:hint="eastAsia" w:ascii="宋体" w:hAnsi="宋体" w:eastAsia="宋体" w:cs="Times New Roman"/>
          <w:bCs/>
          <w:sz w:val="24"/>
          <w:szCs w:val="24"/>
        </w:rPr>
        <w:t>2.3  为便于采购人用户进行接收仪器的准备工作，投标人应在合同生效后60天内向采购人用户提供一套完整的使用说明书、操作手册、维修及安装说明等文件。另一套完整上述资料应在交货时随货包装提供给用户，这些费用应计入投标价中。</w:t>
      </w:r>
    </w:p>
    <w:p w14:paraId="34C61D2D">
      <w:pPr>
        <w:spacing w:line="360" w:lineRule="auto"/>
        <w:rPr>
          <w:rFonts w:ascii="宋体" w:hAnsi="宋体" w:eastAsia="宋体" w:cs="Times New Roman"/>
          <w:bCs/>
          <w:sz w:val="24"/>
          <w:szCs w:val="24"/>
        </w:rPr>
      </w:pPr>
      <w:r>
        <w:rPr>
          <w:rFonts w:hint="eastAsia" w:ascii="宋体" w:hAnsi="宋体" w:eastAsia="宋体" w:cs="Times New Roman"/>
          <w:bCs/>
          <w:sz w:val="24"/>
          <w:szCs w:val="24"/>
        </w:rPr>
        <w:t>2.4  关于设备的安装调试，如果有必要的安装准备条件，投标人应在合同生效后一个月内向买方提出详细的要求或计划。安装调试的费用应计入投标价中，并应单独列出，供评标使用。</w:t>
      </w:r>
    </w:p>
    <w:p w14:paraId="2F5A1ABF">
      <w:pPr>
        <w:spacing w:line="360" w:lineRule="auto"/>
        <w:rPr>
          <w:rFonts w:ascii="宋体" w:hAnsi="宋体" w:eastAsia="宋体" w:cs="Times New Roman"/>
          <w:bCs/>
          <w:sz w:val="24"/>
          <w:szCs w:val="24"/>
        </w:rPr>
      </w:pPr>
      <w:r>
        <w:rPr>
          <w:rFonts w:hint="eastAsia" w:ascii="宋体" w:hAnsi="宋体" w:eastAsia="宋体" w:cs="Times New Roman"/>
          <w:bCs/>
          <w:sz w:val="24"/>
          <w:szCs w:val="24"/>
        </w:rPr>
        <w:t>2.5  制造厂家提供的培训指的是涉及货物的基本原理、操作使用和保养维修等有关内容的培训。培训教员的培训费、旅费、食宿费等费用和培训场地费及培训资料费均应由投标人支付。</w:t>
      </w:r>
    </w:p>
    <w:p w14:paraId="2EC0CB3C">
      <w:pPr>
        <w:spacing w:line="360" w:lineRule="auto"/>
        <w:rPr>
          <w:rFonts w:ascii="宋体" w:hAnsi="宋体" w:eastAsia="宋体" w:cs="Times New Roman"/>
          <w:bCs/>
          <w:sz w:val="24"/>
          <w:szCs w:val="24"/>
        </w:rPr>
      </w:pPr>
      <w:r>
        <w:rPr>
          <w:rFonts w:hint="eastAsia" w:ascii="宋体" w:hAnsi="宋体" w:eastAsia="宋体" w:cs="Times New Roman"/>
          <w:bCs/>
          <w:sz w:val="24"/>
          <w:szCs w:val="24"/>
        </w:rPr>
        <w:t>3、工作条件</w:t>
      </w:r>
    </w:p>
    <w:p w14:paraId="354178F7">
      <w:pPr>
        <w:spacing w:line="360" w:lineRule="auto"/>
        <w:rPr>
          <w:rFonts w:ascii="宋体" w:hAnsi="宋体" w:eastAsia="宋体" w:cs="Times New Roman"/>
          <w:bCs/>
          <w:sz w:val="24"/>
          <w:szCs w:val="24"/>
        </w:rPr>
      </w:pPr>
      <w:r>
        <w:rPr>
          <w:rFonts w:hint="eastAsia" w:ascii="宋体" w:hAnsi="宋体" w:eastAsia="宋体" w:cs="Times New Roman"/>
          <w:bCs/>
          <w:sz w:val="24"/>
          <w:szCs w:val="24"/>
        </w:rPr>
        <w:t xml:space="preserve">除非在技术规格中另有说明，所有货物和系统都应符合下列要求： </w:t>
      </w:r>
    </w:p>
    <w:p w14:paraId="2BCA701A">
      <w:pPr>
        <w:spacing w:line="360" w:lineRule="auto"/>
        <w:rPr>
          <w:rFonts w:ascii="宋体" w:hAnsi="宋体" w:eastAsia="宋体" w:cs="Times New Roman"/>
          <w:bCs/>
          <w:sz w:val="24"/>
          <w:szCs w:val="24"/>
        </w:rPr>
      </w:pPr>
      <w:r>
        <w:rPr>
          <w:rFonts w:hint="eastAsia" w:ascii="宋体" w:hAnsi="宋体" w:eastAsia="宋体" w:cs="Times New Roman"/>
          <w:bCs/>
          <w:sz w:val="24"/>
          <w:szCs w:val="24"/>
        </w:rPr>
        <w:t>3.1  适于在气温为摄氏-40℃～＋50℃和相对湿度为90％的环境条件下运输和贮存。</w:t>
      </w:r>
    </w:p>
    <w:p w14:paraId="103B5D28">
      <w:pPr>
        <w:spacing w:line="360" w:lineRule="auto"/>
        <w:rPr>
          <w:rFonts w:ascii="宋体" w:hAnsi="宋体" w:eastAsia="宋体" w:cs="Times New Roman"/>
          <w:bCs/>
          <w:sz w:val="24"/>
          <w:szCs w:val="24"/>
        </w:rPr>
      </w:pPr>
      <w:r>
        <w:rPr>
          <w:rFonts w:ascii="宋体" w:hAnsi="宋体" w:eastAsia="宋体" w:cs="Times New Roman"/>
          <w:bCs/>
          <w:sz w:val="24"/>
          <w:szCs w:val="24"/>
        </w:rPr>
        <w:t xml:space="preserve">3.2  </w:t>
      </w:r>
      <w:r>
        <w:rPr>
          <w:rFonts w:hint="eastAsia" w:ascii="宋体" w:hAnsi="宋体" w:eastAsia="宋体" w:cs="Times New Roman"/>
          <w:bCs/>
          <w:sz w:val="24"/>
          <w:szCs w:val="24"/>
        </w:rPr>
        <w:t>适于在电源</w:t>
      </w:r>
      <w:r>
        <w:rPr>
          <w:rFonts w:ascii="宋体" w:hAnsi="宋体" w:eastAsia="宋体" w:cs="Times New Roman"/>
          <w:bCs/>
          <w:sz w:val="24"/>
          <w:szCs w:val="24"/>
        </w:rPr>
        <w:t>220V</w:t>
      </w:r>
      <w:r>
        <w:rPr>
          <w:rFonts w:hint="eastAsia" w:ascii="宋体" w:hAnsi="宋体" w:eastAsia="宋体" w:cs="Times New Roman"/>
          <w:bCs/>
          <w:sz w:val="24"/>
          <w:szCs w:val="24"/>
        </w:rPr>
        <w:t>（</w:t>
      </w:r>
      <w:r>
        <w:rPr>
          <w:rFonts w:ascii="宋体" w:hAnsi="宋体" w:eastAsia="宋体" w:cs="Times New Roman"/>
          <w:bCs/>
          <w:sz w:val="24"/>
          <w:szCs w:val="24"/>
        </w:rPr>
        <w:t>10</w:t>
      </w:r>
      <w:r>
        <w:rPr>
          <w:rFonts w:hint="eastAsia" w:ascii="宋体" w:hAnsi="宋体" w:eastAsia="宋体" w:cs="Times New Roman"/>
          <w:bCs/>
          <w:sz w:val="24"/>
          <w:szCs w:val="24"/>
        </w:rPr>
        <w:t>％）</w:t>
      </w:r>
      <w:r>
        <w:rPr>
          <w:rFonts w:ascii="宋体" w:hAnsi="宋体" w:eastAsia="宋体" w:cs="Times New Roman"/>
          <w:bCs/>
          <w:sz w:val="24"/>
          <w:szCs w:val="24"/>
        </w:rPr>
        <w:t>/50Hz</w:t>
      </w:r>
      <w:r>
        <w:rPr>
          <w:rFonts w:hint="eastAsia" w:ascii="宋体" w:hAnsi="宋体" w:eastAsia="宋体" w:cs="Times New Roman"/>
          <w:bCs/>
          <w:sz w:val="24"/>
          <w:szCs w:val="24"/>
        </w:rPr>
        <w:t>、气温摄氏</w:t>
      </w:r>
      <w:r>
        <w:rPr>
          <w:rFonts w:ascii="宋体" w:hAnsi="宋体" w:eastAsia="宋体" w:cs="Times New Roman"/>
          <w:bCs/>
          <w:sz w:val="24"/>
          <w:szCs w:val="24"/>
        </w:rPr>
        <w:t>-40</w:t>
      </w:r>
      <w:r>
        <w:rPr>
          <w:rFonts w:hint="eastAsia" w:ascii="微软雅黑" w:hAnsi="微软雅黑" w:eastAsia="微软雅黑" w:cs="微软雅黑"/>
          <w:bCs/>
          <w:sz w:val="24"/>
          <w:szCs w:val="24"/>
        </w:rPr>
        <w:t>˚</w:t>
      </w:r>
      <w:r>
        <w:rPr>
          <w:rFonts w:ascii="宋体" w:hAnsi="宋体" w:eastAsia="宋体" w:cs="Times New Roman"/>
          <w:bCs/>
          <w:sz w:val="24"/>
          <w:szCs w:val="24"/>
        </w:rPr>
        <w:t>C ~50</w:t>
      </w:r>
      <w:r>
        <w:rPr>
          <w:rFonts w:hint="eastAsia" w:ascii="微软雅黑" w:hAnsi="微软雅黑" w:eastAsia="微软雅黑" w:cs="微软雅黑"/>
          <w:bCs/>
          <w:sz w:val="24"/>
          <w:szCs w:val="24"/>
        </w:rPr>
        <w:t>˚</w:t>
      </w:r>
      <w:r>
        <w:rPr>
          <w:rFonts w:ascii="宋体" w:hAnsi="宋体" w:eastAsia="宋体" w:cs="Times New Roman"/>
          <w:bCs/>
          <w:sz w:val="24"/>
          <w:szCs w:val="24"/>
        </w:rPr>
        <w:t>C</w:t>
      </w:r>
      <w:r>
        <w:rPr>
          <w:rFonts w:hint="eastAsia" w:ascii="宋体" w:hAnsi="宋体" w:eastAsia="宋体" w:cs="Times New Roman"/>
          <w:bCs/>
          <w:sz w:val="24"/>
          <w:szCs w:val="24"/>
        </w:rPr>
        <w:t>和相对湿度</w:t>
      </w:r>
      <w:r>
        <w:rPr>
          <w:rFonts w:ascii="宋体" w:hAnsi="宋体" w:eastAsia="宋体" w:cs="Times New Roman"/>
          <w:bCs/>
          <w:sz w:val="24"/>
          <w:szCs w:val="24"/>
        </w:rPr>
        <w:t>0~100%</w:t>
      </w:r>
      <w:r>
        <w:rPr>
          <w:rFonts w:hint="eastAsia" w:ascii="宋体" w:hAnsi="宋体" w:eastAsia="宋体" w:cs="Times New Roman"/>
          <w:bCs/>
          <w:sz w:val="24"/>
          <w:szCs w:val="24"/>
        </w:rPr>
        <w:t>的环境条件下运行。能够连续正常工作。</w:t>
      </w:r>
    </w:p>
    <w:p w14:paraId="5071747D">
      <w:pPr>
        <w:spacing w:line="360" w:lineRule="auto"/>
        <w:rPr>
          <w:rFonts w:ascii="宋体" w:hAnsi="宋体" w:eastAsia="宋体" w:cs="Times New Roman"/>
          <w:bCs/>
          <w:sz w:val="24"/>
          <w:szCs w:val="24"/>
        </w:rPr>
      </w:pPr>
      <w:r>
        <w:rPr>
          <w:rFonts w:hint="eastAsia" w:ascii="宋体" w:hAnsi="宋体" w:eastAsia="宋体" w:cs="Times New Roman"/>
          <w:bCs/>
          <w:sz w:val="24"/>
          <w:szCs w:val="24"/>
        </w:rPr>
        <w:t>3.3  配置符合中国有关标准要求的插头，如果没有这样的插头，则需提供适当的转换插座。</w:t>
      </w:r>
    </w:p>
    <w:p w14:paraId="2B8EB8A7">
      <w:pPr>
        <w:spacing w:line="360" w:lineRule="auto"/>
        <w:rPr>
          <w:rFonts w:ascii="宋体" w:hAnsi="宋体" w:eastAsia="宋体" w:cs="Times New Roman"/>
          <w:bCs/>
          <w:sz w:val="24"/>
          <w:szCs w:val="24"/>
        </w:rPr>
      </w:pPr>
      <w:r>
        <w:rPr>
          <w:rFonts w:hint="eastAsia" w:ascii="宋体" w:hAnsi="宋体" w:eastAsia="宋体" w:cs="Times New Roman"/>
          <w:bCs/>
          <w:sz w:val="24"/>
          <w:szCs w:val="24"/>
        </w:rPr>
        <w:t>3.4  如产品达不到上述要求，投标人应注明其偏差。如货物需要特殊工作条件（如水、电源、磁场强度、温度、湿度、动强度等）投标人应在投标书中加以说明。</w:t>
      </w:r>
    </w:p>
    <w:p w14:paraId="1D4E9EF5">
      <w:pPr>
        <w:spacing w:line="360" w:lineRule="auto"/>
        <w:rPr>
          <w:rFonts w:ascii="宋体" w:hAnsi="宋体" w:eastAsia="宋体" w:cs="Times New Roman"/>
          <w:bCs/>
          <w:sz w:val="24"/>
          <w:szCs w:val="24"/>
        </w:rPr>
      </w:pPr>
    </w:p>
    <w:p w14:paraId="6C34F0FF">
      <w:pPr>
        <w:spacing w:line="360" w:lineRule="auto"/>
        <w:rPr>
          <w:rFonts w:ascii="宋体" w:hAnsi="宋体" w:eastAsia="宋体" w:cs="Times New Roman"/>
          <w:bCs/>
          <w:sz w:val="24"/>
          <w:szCs w:val="24"/>
        </w:rPr>
      </w:pPr>
      <w:r>
        <w:rPr>
          <w:rFonts w:hint="eastAsia" w:ascii="宋体" w:hAnsi="宋体" w:eastAsia="宋体" w:cs="Times New Roman"/>
          <w:bCs/>
          <w:sz w:val="24"/>
          <w:szCs w:val="24"/>
        </w:rPr>
        <w:t>4、验收标准</w:t>
      </w:r>
    </w:p>
    <w:p w14:paraId="460E583A">
      <w:pPr>
        <w:spacing w:line="360" w:lineRule="auto"/>
        <w:rPr>
          <w:rFonts w:ascii="宋体" w:hAnsi="宋体" w:eastAsia="宋体" w:cs="Times New Roman"/>
          <w:bCs/>
          <w:sz w:val="24"/>
          <w:szCs w:val="24"/>
        </w:rPr>
      </w:pPr>
      <w:r>
        <w:rPr>
          <w:rFonts w:hint="eastAsia" w:ascii="宋体" w:hAnsi="宋体" w:eastAsia="宋体" w:cs="Times New Roman"/>
          <w:bCs/>
          <w:sz w:val="24"/>
          <w:szCs w:val="24"/>
        </w:rPr>
        <w:t xml:space="preserve">除非在技术规格中另有说明，所有货物和系统按下列要求进行验收： </w:t>
      </w:r>
    </w:p>
    <w:p w14:paraId="2F5B90FF">
      <w:pPr>
        <w:spacing w:line="360" w:lineRule="auto"/>
        <w:rPr>
          <w:rFonts w:ascii="宋体" w:hAnsi="宋体" w:eastAsia="宋体" w:cs="Times New Roman"/>
          <w:bCs/>
          <w:sz w:val="24"/>
          <w:szCs w:val="24"/>
        </w:rPr>
      </w:pPr>
      <w:r>
        <w:rPr>
          <w:rFonts w:hint="eastAsia" w:ascii="宋体" w:hAnsi="宋体" w:eastAsia="宋体" w:cs="Times New Roman"/>
          <w:bCs/>
          <w:sz w:val="24"/>
          <w:szCs w:val="24"/>
        </w:rPr>
        <w:t>4.1 货物运抵安装现场后，采购人将与中标人共同开箱验收,如中标人届时不派人来, 则验收结果应以采购人的验收报告为最终验收结果。验收时发现短缺、破损, 采购人有权要求中标人负责更换。</w:t>
      </w:r>
    </w:p>
    <w:p w14:paraId="66D65E00">
      <w:pPr>
        <w:spacing w:line="360" w:lineRule="auto"/>
        <w:rPr>
          <w:rFonts w:ascii="宋体" w:hAnsi="宋体" w:eastAsia="宋体" w:cs="Times New Roman"/>
          <w:bCs/>
          <w:sz w:val="24"/>
          <w:szCs w:val="24"/>
        </w:rPr>
      </w:pPr>
      <w:r>
        <w:rPr>
          <w:rFonts w:hint="eastAsia" w:ascii="宋体" w:hAnsi="宋体" w:eastAsia="宋体" w:cs="Times New Roman"/>
          <w:bCs/>
          <w:sz w:val="24"/>
          <w:szCs w:val="24"/>
        </w:rPr>
        <w:t>4.2  验收标准以中标人提供的投标文件中所列的指标为准。任何虚假指标响应一经发现即作废标，中标人必须承担由此给采购人带来的一切经济损失和其它相关责任。</w:t>
      </w:r>
    </w:p>
    <w:p w14:paraId="48E11E42">
      <w:pPr>
        <w:spacing w:line="360" w:lineRule="auto"/>
        <w:rPr>
          <w:rFonts w:ascii="宋体" w:hAnsi="宋体" w:eastAsia="宋体" w:cs="Times New Roman"/>
          <w:bCs/>
          <w:sz w:val="24"/>
          <w:szCs w:val="24"/>
        </w:rPr>
      </w:pPr>
      <w:r>
        <w:rPr>
          <w:rFonts w:hint="eastAsia" w:ascii="宋体" w:hAnsi="宋体" w:eastAsia="宋体" w:cs="Times New Roman"/>
          <w:bCs/>
          <w:sz w:val="24"/>
          <w:szCs w:val="24"/>
        </w:rPr>
        <w:t>4.3  验收由采购人、中标人及相关人员依国家有关标准、合同及有关附件要求进行，验收完毕由采购人及中标人在验收报告上签名。</w:t>
      </w:r>
    </w:p>
    <w:p w14:paraId="7F52B844">
      <w:pPr>
        <w:spacing w:line="360" w:lineRule="auto"/>
        <w:rPr>
          <w:rFonts w:ascii="宋体" w:hAnsi="宋体" w:eastAsia="宋体" w:cs="Times New Roman"/>
          <w:bCs/>
          <w:sz w:val="24"/>
          <w:szCs w:val="24"/>
        </w:rPr>
      </w:pPr>
    </w:p>
    <w:p w14:paraId="2374174B">
      <w:pPr>
        <w:spacing w:line="360" w:lineRule="auto"/>
        <w:ind w:firstLine="241"/>
        <w:rPr>
          <w:rFonts w:ascii="宋体" w:hAnsi="宋体" w:eastAsia="宋体" w:cs="Times New Roman"/>
          <w:b/>
          <w:sz w:val="24"/>
          <w:szCs w:val="24"/>
        </w:rPr>
      </w:pPr>
      <w:r>
        <w:rPr>
          <w:rFonts w:hint="eastAsia" w:ascii="宋体" w:hAnsi="宋体" w:eastAsia="宋体" w:cs="Times New Roman"/>
          <w:b/>
          <w:sz w:val="24"/>
          <w:szCs w:val="24"/>
        </w:rPr>
        <w:t>5、本项目需求中标注“★”号的为实质性要求，不满足其投标将被拒绝。</w:t>
      </w:r>
    </w:p>
    <w:p w14:paraId="37AE6533">
      <w:pPr>
        <w:spacing w:line="360" w:lineRule="auto"/>
        <w:ind w:left="525" w:firstLine="241"/>
        <w:rPr>
          <w:rFonts w:ascii="宋体" w:hAnsi="宋体" w:eastAsia="宋体" w:cs="Times New Roman"/>
          <w:b/>
          <w:sz w:val="24"/>
          <w:szCs w:val="24"/>
        </w:rPr>
      </w:pPr>
    </w:p>
    <w:p w14:paraId="386D1DE9">
      <w:pPr>
        <w:spacing w:line="360" w:lineRule="auto"/>
        <w:ind w:firstLine="241"/>
        <w:rPr>
          <w:rFonts w:ascii="宋体" w:hAnsi="宋体" w:eastAsia="宋体" w:cs="Times New Roman"/>
          <w:b/>
          <w:sz w:val="24"/>
          <w:szCs w:val="24"/>
        </w:rPr>
      </w:pPr>
      <w:r>
        <w:rPr>
          <w:rFonts w:hint="eastAsia" w:ascii="宋体" w:hAnsi="宋体" w:eastAsia="宋体" w:cs="Times New Roman"/>
          <w:b/>
          <w:sz w:val="24"/>
          <w:szCs w:val="24"/>
        </w:rPr>
        <w:t>6、如在具体要求中有本总则不一致之处，以具体要求中的要求内容为准。</w:t>
      </w:r>
    </w:p>
    <w:bookmarkEnd w:id="1"/>
    <w:p w14:paraId="4D2138F4">
      <w:pPr>
        <w:widowControl/>
        <w:ind w:left="700" w:firstLine="321"/>
        <w:jc w:val="left"/>
        <w:rPr>
          <w:rFonts w:ascii="宋体" w:hAnsi="Times New Roman" w:eastAsia="宋体" w:cs="Times New Roman"/>
          <w:b/>
          <w:bCs/>
          <w:kern w:val="0"/>
          <w:sz w:val="32"/>
          <w:szCs w:val="32"/>
        </w:rPr>
      </w:pPr>
      <w:r>
        <w:rPr>
          <w:rFonts w:ascii="Times New Roman" w:hAnsi="Times New Roman" w:eastAsia="宋体" w:cs="Times New Roman"/>
          <w:b/>
          <w:bCs/>
          <w:sz w:val="32"/>
          <w:szCs w:val="32"/>
        </w:rPr>
        <w:br w:type="page"/>
      </w:r>
    </w:p>
    <w:p w14:paraId="0E92C328">
      <w:pPr>
        <w:autoSpaceDE w:val="0"/>
        <w:autoSpaceDN w:val="0"/>
        <w:adjustRightInd w:val="0"/>
        <w:ind w:left="700" w:firstLine="321"/>
        <w:jc w:val="center"/>
        <w:outlineLvl w:val="1"/>
        <w:rPr>
          <w:rFonts w:ascii="宋体" w:hAnsi="Times New Roman" w:eastAsia="宋体" w:cs="Times New Roman"/>
          <w:b/>
          <w:bCs/>
          <w:kern w:val="0"/>
          <w:sz w:val="32"/>
          <w:szCs w:val="32"/>
        </w:rPr>
      </w:pPr>
      <w:r>
        <w:rPr>
          <w:rFonts w:hint="eastAsia" w:ascii="宋体" w:hAnsi="Times New Roman" w:eastAsia="宋体" w:cs="Times New Roman"/>
          <w:b/>
          <w:bCs/>
          <w:kern w:val="0"/>
          <w:sz w:val="32"/>
          <w:szCs w:val="32"/>
        </w:rPr>
        <w:t>三、具体要求</w:t>
      </w:r>
    </w:p>
    <w:p w14:paraId="2F559931">
      <w:pPr>
        <w:tabs>
          <w:tab w:val="left" w:pos="1920"/>
        </w:tabs>
        <w:ind w:left="458" w:firstLine="210"/>
        <w:rPr>
          <w:rFonts w:ascii="Times New Roman" w:hAnsi="Times New Roman" w:eastAsia="宋体" w:cs="Times New Roman"/>
          <w:szCs w:val="24"/>
        </w:rPr>
      </w:pPr>
    </w:p>
    <w:p w14:paraId="01E2C778">
      <w:pPr>
        <w:ind w:left="613" w:hanging="613" w:hangingChars="218"/>
        <w:outlineLvl w:val="2"/>
        <w:rPr>
          <w:rFonts w:ascii="宋体" w:hAnsi="宋体" w:eastAsia="宋体" w:cs="Arial"/>
          <w:b/>
          <w:sz w:val="24"/>
          <w:szCs w:val="24"/>
        </w:rPr>
      </w:pPr>
      <w:r>
        <w:rPr>
          <w:rFonts w:hint="eastAsia" w:ascii="Times New Roman" w:hAnsi="Times New Roman" w:eastAsia="宋体" w:cs="Times New Roman"/>
          <w:b/>
          <w:sz w:val="28"/>
          <w:szCs w:val="28"/>
        </w:rPr>
        <w:t>（一）技术要求：</w:t>
      </w:r>
    </w:p>
    <w:p w14:paraId="0FC6A27C">
      <w:pPr>
        <w:spacing w:line="360" w:lineRule="auto"/>
        <w:ind w:firstLine="241"/>
        <w:jc w:val="left"/>
        <w:rPr>
          <w:rFonts w:ascii="Times New Roman" w:hAnsi="Times New Roman"/>
          <w:bCs/>
          <w:sz w:val="24"/>
        </w:rPr>
      </w:pPr>
      <w:r>
        <w:rPr>
          <w:rFonts w:hint="eastAsia" w:ascii="宋体" w:hAnsi="宋体" w:cs="宋体"/>
          <w:kern w:val="0"/>
          <w:sz w:val="24"/>
          <w:lang w:val="zh-CN"/>
        </w:rPr>
        <w:t>★</w:t>
      </w:r>
      <w:r>
        <w:rPr>
          <w:rFonts w:hint="eastAsia" w:ascii="Times New Roman" w:hAnsi="Times New Roman"/>
          <w:b/>
          <w:bCs/>
          <w:sz w:val="24"/>
        </w:rPr>
        <w:t>一、功能要求</w:t>
      </w:r>
    </w:p>
    <w:p w14:paraId="52542D76">
      <w:pPr>
        <w:spacing w:line="360" w:lineRule="auto"/>
        <w:ind w:firstLine="480" w:firstLineChars="200"/>
        <w:jc w:val="left"/>
        <w:rPr>
          <w:rFonts w:ascii="Times New Roman" w:hAnsi="Times New Roman"/>
          <w:bCs/>
          <w:sz w:val="24"/>
        </w:rPr>
      </w:pPr>
      <w:r>
        <w:rPr>
          <w:rFonts w:hint="eastAsia" w:ascii="Times New Roman" w:hAnsi="Times New Roman"/>
          <w:bCs/>
          <w:sz w:val="24"/>
        </w:rPr>
        <w:t>该系统用于6英寸标准掩模版表面平坦化加工，主要刻蚀材料为二氧化硅等介质材料，可以完成高精度的掩模平坦化加工工艺。</w:t>
      </w:r>
    </w:p>
    <w:tbl>
      <w:tblPr>
        <w:tblStyle w:val="5"/>
        <w:tblW w:w="94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50"/>
        <w:gridCol w:w="681"/>
        <w:gridCol w:w="1091"/>
        <w:gridCol w:w="1651"/>
        <w:gridCol w:w="1238"/>
        <w:gridCol w:w="1260"/>
        <w:gridCol w:w="1260"/>
      </w:tblGrid>
      <w:tr w14:paraId="3870A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675" w:type="dxa"/>
            <w:vAlign w:val="center"/>
          </w:tcPr>
          <w:p w14:paraId="2F1D9F57">
            <w:pPr>
              <w:widowControl/>
              <w:snapToGrid w:val="0"/>
              <w:spacing w:before="156" w:beforeLines="50" w:line="360" w:lineRule="auto"/>
              <w:jc w:val="center"/>
              <w:rPr>
                <w:rFonts w:ascii="宋体" w:hAnsi="宋体" w:cs="宋体"/>
                <w:b/>
                <w:bCs/>
                <w:sz w:val="24"/>
              </w:rPr>
            </w:pPr>
            <w:r>
              <w:rPr>
                <w:rFonts w:hint="eastAsia" w:ascii="宋体" w:hAnsi="宋体" w:cs="宋体"/>
                <w:b/>
                <w:bCs/>
                <w:sz w:val="24"/>
              </w:rPr>
              <w:t>序号</w:t>
            </w:r>
          </w:p>
        </w:tc>
        <w:tc>
          <w:tcPr>
            <w:tcW w:w="1550" w:type="dxa"/>
            <w:noWrap/>
            <w:vAlign w:val="center"/>
          </w:tcPr>
          <w:p w14:paraId="1E7696A3">
            <w:pPr>
              <w:widowControl/>
              <w:snapToGrid w:val="0"/>
              <w:spacing w:before="156" w:beforeLines="50" w:line="360" w:lineRule="auto"/>
              <w:jc w:val="center"/>
              <w:rPr>
                <w:rFonts w:ascii="宋体" w:hAnsi="宋体" w:cs="宋体"/>
                <w:b/>
                <w:bCs/>
                <w:sz w:val="24"/>
              </w:rPr>
            </w:pPr>
            <w:r>
              <w:rPr>
                <w:rFonts w:hint="eastAsia" w:ascii="宋体" w:hAnsi="宋体" w:cs="宋体"/>
                <w:b/>
                <w:bCs/>
                <w:sz w:val="24"/>
              </w:rPr>
              <w:t>设备名称</w:t>
            </w:r>
          </w:p>
        </w:tc>
        <w:tc>
          <w:tcPr>
            <w:tcW w:w="681" w:type="dxa"/>
            <w:vAlign w:val="center"/>
          </w:tcPr>
          <w:p w14:paraId="467DB060">
            <w:pPr>
              <w:widowControl/>
              <w:snapToGrid w:val="0"/>
              <w:spacing w:before="156" w:beforeLines="50" w:line="360" w:lineRule="auto"/>
              <w:jc w:val="center"/>
              <w:rPr>
                <w:rFonts w:ascii="宋体" w:hAnsi="宋体" w:cs="宋体"/>
                <w:b/>
                <w:bCs/>
                <w:sz w:val="24"/>
              </w:rPr>
            </w:pPr>
            <w:r>
              <w:rPr>
                <w:rFonts w:hint="eastAsia" w:ascii="宋体" w:hAnsi="宋体" w:cs="宋体"/>
                <w:b/>
                <w:bCs/>
                <w:sz w:val="24"/>
              </w:rPr>
              <w:t>数量</w:t>
            </w:r>
          </w:p>
        </w:tc>
        <w:tc>
          <w:tcPr>
            <w:tcW w:w="1091" w:type="dxa"/>
            <w:noWrap/>
            <w:vAlign w:val="center"/>
          </w:tcPr>
          <w:p w14:paraId="5EE41F73">
            <w:pPr>
              <w:widowControl/>
              <w:snapToGrid w:val="0"/>
              <w:spacing w:before="156" w:beforeLines="50" w:line="360" w:lineRule="auto"/>
              <w:jc w:val="center"/>
              <w:rPr>
                <w:rFonts w:ascii="宋体" w:hAnsi="宋体" w:cs="宋体"/>
                <w:b/>
                <w:bCs/>
                <w:sz w:val="24"/>
              </w:rPr>
            </w:pPr>
            <w:r>
              <w:rPr>
                <w:rFonts w:hint="eastAsia" w:ascii="宋体" w:hAnsi="宋体" w:cs="宋体"/>
                <w:b/>
                <w:bCs/>
                <w:sz w:val="24"/>
              </w:rPr>
              <w:t>单位</w:t>
            </w:r>
          </w:p>
        </w:tc>
        <w:tc>
          <w:tcPr>
            <w:tcW w:w="1651" w:type="dxa"/>
            <w:vAlign w:val="center"/>
          </w:tcPr>
          <w:p w14:paraId="7097710A">
            <w:pPr>
              <w:widowControl/>
              <w:snapToGrid w:val="0"/>
              <w:spacing w:before="156" w:beforeLines="50" w:line="360" w:lineRule="auto"/>
              <w:jc w:val="center"/>
              <w:rPr>
                <w:rFonts w:ascii="宋体" w:hAnsi="宋体" w:cs="宋体"/>
                <w:b/>
                <w:bCs/>
                <w:sz w:val="24"/>
              </w:rPr>
            </w:pPr>
            <w:r>
              <w:rPr>
                <w:rFonts w:hint="eastAsia" w:ascii="宋体" w:hAnsi="宋体" w:cs="宋体"/>
                <w:b/>
                <w:bCs/>
                <w:sz w:val="24"/>
              </w:rPr>
              <w:t>是否接受进口设备参与投标</w:t>
            </w:r>
          </w:p>
        </w:tc>
        <w:tc>
          <w:tcPr>
            <w:tcW w:w="1238" w:type="dxa"/>
            <w:vAlign w:val="center"/>
          </w:tcPr>
          <w:p w14:paraId="7CD88CE8">
            <w:pPr>
              <w:widowControl/>
              <w:snapToGrid w:val="0"/>
              <w:spacing w:before="156" w:beforeLines="50" w:line="360" w:lineRule="auto"/>
              <w:jc w:val="center"/>
              <w:rPr>
                <w:rFonts w:ascii="宋体" w:hAnsi="宋体" w:cs="宋体"/>
                <w:b/>
                <w:bCs/>
                <w:sz w:val="24"/>
              </w:rPr>
            </w:pPr>
            <w:r>
              <w:rPr>
                <w:rFonts w:hint="eastAsia" w:ascii="宋体" w:hAnsi="宋体" w:cs="宋体"/>
                <w:b/>
                <w:bCs/>
                <w:sz w:val="24"/>
              </w:rPr>
              <w:t>预算金额</w:t>
            </w:r>
          </w:p>
          <w:p w14:paraId="1AA29F4A">
            <w:pPr>
              <w:widowControl/>
              <w:snapToGrid w:val="0"/>
              <w:spacing w:before="156" w:beforeLines="50" w:line="360" w:lineRule="auto"/>
              <w:jc w:val="center"/>
              <w:rPr>
                <w:rFonts w:ascii="宋体" w:hAnsi="宋体" w:cs="宋体"/>
                <w:b/>
                <w:bCs/>
                <w:sz w:val="24"/>
              </w:rPr>
            </w:pPr>
            <w:r>
              <w:rPr>
                <w:rFonts w:hint="eastAsia" w:ascii="宋体" w:hAnsi="宋体" w:cs="宋体"/>
                <w:b/>
                <w:bCs/>
                <w:sz w:val="24"/>
              </w:rPr>
              <w:t>（万元）</w:t>
            </w:r>
          </w:p>
        </w:tc>
        <w:tc>
          <w:tcPr>
            <w:tcW w:w="1260" w:type="dxa"/>
            <w:vAlign w:val="center"/>
          </w:tcPr>
          <w:p w14:paraId="6BC588DC">
            <w:pPr>
              <w:widowControl/>
              <w:snapToGrid w:val="0"/>
              <w:spacing w:before="156" w:beforeLines="50" w:line="360" w:lineRule="auto"/>
              <w:jc w:val="center"/>
              <w:rPr>
                <w:rFonts w:ascii="宋体" w:hAnsi="宋体" w:cs="宋体"/>
                <w:b/>
                <w:bCs/>
                <w:sz w:val="24"/>
              </w:rPr>
            </w:pPr>
            <w:r>
              <w:rPr>
                <w:rFonts w:hint="eastAsia" w:ascii="宋体" w:hAnsi="宋体" w:cs="宋体"/>
                <w:b/>
                <w:bCs/>
                <w:sz w:val="24"/>
              </w:rPr>
              <w:t>最高限价（万元）</w:t>
            </w:r>
          </w:p>
        </w:tc>
        <w:tc>
          <w:tcPr>
            <w:tcW w:w="1260" w:type="dxa"/>
            <w:vAlign w:val="center"/>
          </w:tcPr>
          <w:p w14:paraId="14205BDB">
            <w:pPr>
              <w:widowControl/>
              <w:snapToGrid w:val="0"/>
              <w:spacing w:before="156" w:beforeLines="50" w:line="360" w:lineRule="auto"/>
              <w:jc w:val="center"/>
              <w:rPr>
                <w:rFonts w:ascii="宋体" w:hAnsi="宋体" w:cs="宋体"/>
                <w:b/>
                <w:bCs/>
                <w:sz w:val="24"/>
              </w:rPr>
            </w:pPr>
            <w:r>
              <w:rPr>
                <w:rFonts w:hint="eastAsia" w:ascii="宋体" w:hAnsi="宋体" w:cs="宋体"/>
                <w:b/>
                <w:bCs/>
                <w:sz w:val="24"/>
              </w:rPr>
              <w:t>本项目所属行业</w:t>
            </w:r>
          </w:p>
        </w:tc>
      </w:tr>
      <w:tr w14:paraId="5971D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675" w:type="dxa"/>
            <w:vAlign w:val="center"/>
          </w:tcPr>
          <w:p w14:paraId="546FD1F9">
            <w:pPr>
              <w:widowControl/>
              <w:snapToGrid w:val="0"/>
              <w:spacing w:before="156" w:beforeLines="50" w:line="360" w:lineRule="auto"/>
              <w:jc w:val="center"/>
              <w:rPr>
                <w:rFonts w:ascii="宋体" w:hAnsi="宋体" w:cs="宋体"/>
                <w:kern w:val="0"/>
                <w:sz w:val="24"/>
              </w:rPr>
            </w:pPr>
            <w:r>
              <w:rPr>
                <w:rFonts w:hint="eastAsia" w:ascii="宋体" w:hAnsi="宋体" w:cs="宋体"/>
                <w:kern w:val="0"/>
                <w:sz w:val="24"/>
              </w:rPr>
              <w:t>一</w:t>
            </w:r>
          </w:p>
        </w:tc>
        <w:tc>
          <w:tcPr>
            <w:tcW w:w="1550" w:type="dxa"/>
            <w:vAlign w:val="center"/>
          </w:tcPr>
          <w:p w14:paraId="60D71472">
            <w:pPr>
              <w:widowControl/>
              <w:spacing w:line="360" w:lineRule="auto"/>
              <w:jc w:val="left"/>
              <w:rPr>
                <w:rFonts w:ascii="宋体" w:hAnsi="宋体" w:cs="宋体"/>
                <w:kern w:val="0"/>
                <w:sz w:val="24"/>
              </w:rPr>
            </w:pPr>
            <w:r>
              <w:rPr>
                <w:rFonts w:hint="eastAsia" w:ascii="宋体" w:hAnsi="宋体" w:cs="宋体"/>
                <w:kern w:val="0"/>
                <w:sz w:val="24"/>
              </w:rPr>
              <w:t>模板表面平坦化处理设备</w:t>
            </w:r>
          </w:p>
        </w:tc>
        <w:tc>
          <w:tcPr>
            <w:tcW w:w="681" w:type="dxa"/>
            <w:vAlign w:val="center"/>
          </w:tcPr>
          <w:p w14:paraId="36385532">
            <w:pPr>
              <w:widowControl/>
              <w:snapToGrid w:val="0"/>
              <w:spacing w:before="156" w:beforeLines="50" w:line="360" w:lineRule="auto"/>
              <w:jc w:val="center"/>
              <w:rPr>
                <w:rFonts w:ascii="宋体" w:hAnsi="宋体" w:cs="宋体"/>
                <w:kern w:val="0"/>
                <w:sz w:val="24"/>
              </w:rPr>
            </w:pPr>
            <w:r>
              <w:rPr>
                <w:rFonts w:hint="eastAsia" w:ascii="宋体" w:hAnsi="宋体" w:cs="宋体"/>
                <w:kern w:val="0"/>
                <w:sz w:val="24"/>
              </w:rPr>
              <w:t>1</w:t>
            </w:r>
          </w:p>
        </w:tc>
        <w:tc>
          <w:tcPr>
            <w:tcW w:w="1091" w:type="dxa"/>
            <w:vAlign w:val="center"/>
          </w:tcPr>
          <w:p w14:paraId="2A293BB4">
            <w:pPr>
              <w:widowControl/>
              <w:snapToGrid w:val="0"/>
              <w:spacing w:before="156" w:beforeLines="50" w:line="360" w:lineRule="auto"/>
              <w:jc w:val="center"/>
              <w:rPr>
                <w:rFonts w:ascii="宋体" w:hAnsi="宋体" w:cs="宋体"/>
                <w:kern w:val="0"/>
                <w:sz w:val="24"/>
              </w:rPr>
            </w:pPr>
            <w:r>
              <w:rPr>
                <w:rFonts w:hint="eastAsia" w:ascii="宋体" w:hAnsi="宋体" w:cs="宋体"/>
                <w:kern w:val="0"/>
                <w:sz w:val="24"/>
              </w:rPr>
              <w:t>套</w:t>
            </w:r>
          </w:p>
        </w:tc>
        <w:tc>
          <w:tcPr>
            <w:tcW w:w="1651" w:type="dxa"/>
            <w:vAlign w:val="center"/>
          </w:tcPr>
          <w:p w14:paraId="0AE42862">
            <w:pPr>
              <w:widowControl/>
              <w:snapToGrid w:val="0"/>
              <w:spacing w:before="156" w:beforeLines="50" w:line="360" w:lineRule="auto"/>
              <w:jc w:val="center"/>
              <w:rPr>
                <w:rFonts w:ascii="宋体" w:hAnsi="宋体" w:cs="宋体"/>
                <w:kern w:val="0"/>
                <w:sz w:val="24"/>
              </w:rPr>
            </w:pPr>
            <w:r>
              <w:rPr>
                <w:rFonts w:hint="eastAsia" w:ascii="宋体" w:hAnsi="宋体" w:cs="宋体"/>
                <w:kern w:val="0"/>
                <w:sz w:val="24"/>
              </w:rPr>
              <w:t>否</w:t>
            </w:r>
          </w:p>
        </w:tc>
        <w:tc>
          <w:tcPr>
            <w:tcW w:w="1238" w:type="dxa"/>
            <w:vAlign w:val="center"/>
          </w:tcPr>
          <w:p w14:paraId="6DEDEFB8">
            <w:pPr>
              <w:widowControl/>
              <w:snapToGrid w:val="0"/>
              <w:spacing w:before="156" w:beforeLines="50" w:line="360" w:lineRule="auto"/>
              <w:jc w:val="center"/>
              <w:rPr>
                <w:rFonts w:ascii="宋体" w:hAnsi="宋体" w:cs="宋体"/>
                <w:kern w:val="0"/>
                <w:sz w:val="24"/>
              </w:rPr>
            </w:pPr>
            <w:r>
              <w:rPr>
                <w:rFonts w:hint="eastAsia" w:ascii="宋体" w:hAnsi="宋体" w:cs="宋体"/>
                <w:kern w:val="0"/>
                <w:sz w:val="24"/>
              </w:rPr>
              <w:t>112</w:t>
            </w:r>
          </w:p>
        </w:tc>
        <w:tc>
          <w:tcPr>
            <w:tcW w:w="1260" w:type="dxa"/>
            <w:vAlign w:val="center"/>
          </w:tcPr>
          <w:p w14:paraId="5C1267EB">
            <w:pPr>
              <w:widowControl/>
              <w:snapToGrid w:val="0"/>
              <w:spacing w:before="156" w:beforeLines="50" w:line="360" w:lineRule="auto"/>
              <w:jc w:val="center"/>
              <w:rPr>
                <w:rFonts w:ascii="宋体" w:hAnsi="宋体" w:cs="宋体"/>
                <w:kern w:val="0"/>
                <w:sz w:val="24"/>
              </w:rPr>
            </w:pPr>
            <w:r>
              <w:rPr>
                <w:rFonts w:hint="eastAsia" w:ascii="宋体" w:hAnsi="宋体" w:cs="宋体"/>
                <w:kern w:val="0"/>
                <w:sz w:val="24"/>
              </w:rPr>
              <w:t>112</w:t>
            </w:r>
          </w:p>
        </w:tc>
        <w:tc>
          <w:tcPr>
            <w:tcW w:w="1260" w:type="dxa"/>
            <w:vAlign w:val="center"/>
          </w:tcPr>
          <w:p w14:paraId="492988CC">
            <w:pPr>
              <w:widowControl/>
              <w:snapToGrid w:val="0"/>
              <w:spacing w:before="156" w:beforeLines="50" w:line="360" w:lineRule="auto"/>
              <w:jc w:val="center"/>
              <w:rPr>
                <w:rFonts w:ascii="宋体" w:hAnsi="宋体" w:cs="宋体"/>
                <w:kern w:val="0"/>
                <w:sz w:val="24"/>
              </w:rPr>
            </w:pPr>
            <w:r>
              <w:rPr>
                <w:rFonts w:hint="eastAsia" w:ascii="宋体" w:hAnsi="宋体" w:cs="宋体"/>
                <w:kern w:val="0"/>
                <w:sz w:val="24"/>
              </w:rPr>
              <w:t>工业</w:t>
            </w:r>
          </w:p>
        </w:tc>
      </w:tr>
    </w:tbl>
    <w:p w14:paraId="0A6E6AF9">
      <w:pPr>
        <w:spacing w:line="360" w:lineRule="auto"/>
        <w:ind w:firstLine="480" w:firstLineChars="200"/>
        <w:jc w:val="left"/>
        <w:rPr>
          <w:rFonts w:ascii="Times New Roman" w:hAnsi="Times New Roman"/>
          <w:bCs/>
          <w:sz w:val="24"/>
        </w:rPr>
      </w:pPr>
    </w:p>
    <w:p w14:paraId="707D2322">
      <w:pPr>
        <w:spacing w:line="360" w:lineRule="auto"/>
        <w:ind w:firstLine="480" w:firstLineChars="200"/>
        <w:jc w:val="left"/>
        <w:rPr>
          <w:rFonts w:ascii="Times New Roman" w:hAnsi="Times New Roman"/>
          <w:bCs/>
          <w:sz w:val="24"/>
        </w:rPr>
      </w:pPr>
    </w:p>
    <w:p w14:paraId="2232D9F6">
      <w:pPr>
        <w:spacing w:line="360" w:lineRule="auto"/>
        <w:ind w:firstLine="241"/>
        <w:jc w:val="left"/>
        <w:rPr>
          <w:rFonts w:ascii="Times New Roman" w:hAnsi="Times New Roman"/>
          <w:b/>
          <w:bCs/>
          <w:sz w:val="24"/>
        </w:rPr>
      </w:pPr>
      <w:r>
        <w:rPr>
          <w:rFonts w:hint="eastAsia" w:ascii="Times New Roman" w:hAnsi="Times New Roman"/>
          <w:b/>
          <w:bCs/>
          <w:sz w:val="24"/>
        </w:rPr>
        <w:t>二</w:t>
      </w:r>
      <w:r>
        <w:rPr>
          <w:rFonts w:ascii="Times New Roman" w:hAnsi="Times New Roman"/>
          <w:b/>
          <w:bCs/>
          <w:sz w:val="24"/>
        </w:rPr>
        <w:t>、</w:t>
      </w:r>
      <w:r>
        <w:rPr>
          <w:rFonts w:hint="eastAsia" w:ascii="Times New Roman" w:hAnsi="Times New Roman"/>
          <w:b/>
          <w:bCs/>
          <w:sz w:val="24"/>
        </w:rPr>
        <w:t>主要技术参数：</w:t>
      </w:r>
    </w:p>
    <w:p w14:paraId="2413E175">
      <w:pPr>
        <w:widowControl/>
        <w:snapToGrid w:val="0"/>
        <w:spacing w:line="360" w:lineRule="auto"/>
        <w:rPr>
          <w:rFonts w:ascii="宋体" w:hAnsi="宋体" w:cs="宋体"/>
          <w:b/>
          <w:sz w:val="24"/>
        </w:rPr>
      </w:pPr>
      <w:r>
        <w:rPr>
          <w:rFonts w:hint="eastAsia" w:ascii="宋体" w:hAnsi="宋体" w:cs="宋体"/>
          <w:kern w:val="0"/>
          <w:sz w:val="24"/>
          <w:lang w:val="zh-CN"/>
        </w:rPr>
        <w:t>★</w:t>
      </w:r>
      <w:r>
        <w:rPr>
          <w:rFonts w:hint="eastAsia" w:ascii="宋体" w:hAnsi="宋体" w:cs="宋体"/>
          <w:b/>
          <w:sz w:val="24"/>
        </w:rPr>
        <w:t>1、配置清单及零配件（包括专用工具）：</w:t>
      </w:r>
    </w:p>
    <w:tbl>
      <w:tblPr>
        <w:tblStyle w:val="5"/>
        <w:tblW w:w="91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8"/>
        <w:gridCol w:w="3803"/>
        <w:gridCol w:w="2416"/>
        <w:gridCol w:w="1570"/>
      </w:tblGrid>
      <w:tr w14:paraId="472D6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1408" w:type="dxa"/>
          </w:tcPr>
          <w:p w14:paraId="29BD074C">
            <w:pPr>
              <w:widowControl/>
              <w:snapToGrid w:val="0"/>
              <w:spacing w:before="156" w:beforeLines="50" w:line="360" w:lineRule="auto"/>
              <w:jc w:val="center"/>
              <w:rPr>
                <w:rFonts w:ascii="宋体" w:hAnsi="宋体" w:cs="宋体"/>
                <w:b/>
                <w:bCs/>
                <w:sz w:val="24"/>
              </w:rPr>
            </w:pPr>
            <w:r>
              <w:rPr>
                <w:rFonts w:hint="eastAsia" w:ascii="宋体" w:hAnsi="宋体" w:cs="宋体"/>
                <w:b/>
                <w:bCs/>
                <w:sz w:val="24"/>
              </w:rPr>
              <w:t>序号</w:t>
            </w:r>
          </w:p>
        </w:tc>
        <w:tc>
          <w:tcPr>
            <w:tcW w:w="3803" w:type="dxa"/>
          </w:tcPr>
          <w:p w14:paraId="53CDA528">
            <w:pPr>
              <w:widowControl/>
              <w:snapToGrid w:val="0"/>
              <w:spacing w:before="156" w:beforeLines="50" w:line="360" w:lineRule="auto"/>
              <w:jc w:val="center"/>
              <w:rPr>
                <w:rFonts w:ascii="宋体" w:hAnsi="宋体" w:cs="宋体"/>
                <w:b/>
                <w:bCs/>
                <w:sz w:val="24"/>
              </w:rPr>
            </w:pPr>
            <w:r>
              <w:rPr>
                <w:rFonts w:hint="eastAsia" w:ascii="宋体" w:hAnsi="宋体" w:cs="宋体"/>
                <w:b/>
                <w:bCs/>
                <w:sz w:val="24"/>
              </w:rPr>
              <w:t>名称</w:t>
            </w:r>
          </w:p>
        </w:tc>
        <w:tc>
          <w:tcPr>
            <w:tcW w:w="2416" w:type="dxa"/>
          </w:tcPr>
          <w:p w14:paraId="1345D25D">
            <w:pPr>
              <w:widowControl/>
              <w:snapToGrid w:val="0"/>
              <w:spacing w:before="156" w:beforeLines="50" w:line="360" w:lineRule="auto"/>
              <w:jc w:val="center"/>
              <w:rPr>
                <w:rFonts w:ascii="宋体" w:hAnsi="宋体" w:cs="宋体"/>
                <w:b/>
                <w:bCs/>
                <w:sz w:val="24"/>
              </w:rPr>
            </w:pPr>
            <w:r>
              <w:rPr>
                <w:rFonts w:hint="eastAsia" w:ascii="宋体" w:hAnsi="宋体" w:cs="宋体"/>
                <w:b/>
                <w:bCs/>
                <w:sz w:val="24"/>
              </w:rPr>
              <w:t>数量</w:t>
            </w:r>
          </w:p>
        </w:tc>
        <w:tc>
          <w:tcPr>
            <w:tcW w:w="1570" w:type="dxa"/>
          </w:tcPr>
          <w:p w14:paraId="78A403A9">
            <w:pPr>
              <w:widowControl/>
              <w:snapToGrid w:val="0"/>
              <w:spacing w:before="156" w:beforeLines="50" w:line="360" w:lineRule="auto"/>
              <w:jc w:val="center"/>
              <w:rPr>
                <w:rFonts w:ascii="宋体" w:hAnsi="宋体" w:cs="宋体"/>
                <w:b/>
                <w:bCs/>
                <w:sz w:val="24"/>
              </w:rPr>
            </w:pPr>
            <w:r>
              <w:rPr>
                <w:rFonts w:hint="eastAsia" w:ascii="宋体" w:hAnsi="宋体" w:cs="宋体"/>
                <w:b/>
                <w:bCs/>
                <w:sz w:val="24"/>
              </w:rPr>
              <w:t>单位</w:t>
            </w:r>
          </w:p>
        </w:tc>
      </w:tr>
      <w:tr w14:paraId="1447E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1408" w:type="dxa"/>
          </w:tcPr>
          <w:p w14:paraId="34EEFADD">
            <w:pPr>
              <w:widowControl/>
              <w:snapToGrid w:val="0"/>
              <w:spacing w:before="156" w:beforeLines="50" w:line="360" w:lineRule="auto"/>
              <w:jc w:val="center"/>
              <w:rPr>
                <w:rFonts w:ascii="宋体" w:hAnsi="宋体" w:cs="宋体"/>
                <w:b/>
                <w:sz w:val="24"/>
              </w:rPr>
            </w:pPr>
            <w:r>
              <w:rPr>
                <w:rFonts w:hint="eastAsia" w:ascii="宋体" w:hAnsi="宋体" w:cs="宋体"/>
                <w:b/>
                <w:sz w:val="24"/>
              </w:rPr>
              <w:t>一</w:t>
            </w:r>
          </w:p>
        </w:tc>
        <w:tc>
          <w:tcPr>
            <w:tcW w:w="3803" w:type="dxa"/>
          </w:tcPr>
          <w:p w14:paraId="4F1AC268">
            <w:pPr>
              <w:widowControl/>
              <w:snapToGrid w:val="0"/>
              <w:spacing w:before="156" w:beforeLines="50" w:line="360" w:lineRule="auto"/>
              <w:rPr>
                <w:rFonts w:ascii="宋体" w:hAnsi="宋体" w:cs="宋体"/>
                <w:b/>
                <w:sz w:val="24"/>
              </w:rPr>
            </w:pPr>
            <w:r>
              <w:rPr>
                <w:rFonts w:hint="eastAsia" w:ascii="宋体" w:hAnsi="宋体" w:cs="宋体"/>
                <w:b/>
                <w:sz w:val="24"/>
              </w:rPr>
              <w:t>气压控制模块</w:t>
            </w:r>
          </w:p>
        </w:tc>
        <w:tc>
          <w:tcPr>
            <w:tcW w:w="2416" w:type="dxa"/>
          </w:tcPr>
          <w:p w14:paraId="50A0EC9E">
            <w:pPr>
              <w:widowControl/>
              <w:snapToGrid w:val="0"/>
              <w:spacing w:before="156" w:beforeLines="50" w:line="360" w:lineRule="auto"/>
              <w:jc w:val="center"/>
              <w:rPr>
                <w:rFonts w:ascii="宋体" w:hAnsi="宋体" w:cs="宋体"/>
                <w:b/>
                <w:sz w:val="24"/>
              </w:rPr>
            </w:pPr>
            <w:r>
              <w:rPr>
                <w:rFonts w:hint="eastAsia" w:ascii="宋体" w:hAnsi="宋体" w:cs="宋体"/>
                <w:b/>
                <w:kern w:val="0"/>
                <w:sz w:val="24"/>
              </w:rPr>
              <w:t>1</w:t>
            </w:r>
          </w:p>
        </w:tc>
        <w:tc>
          <w:tcPr>
            <w:tcW w:w="1570" w:type="dxa"/>
          </w:tcPr>
          <w:p w14:paraId="48A24543">
            <w:pPr>
              <w:widowControl/>
              <w:snapToGrid w:val="0"/>
              <w:spacing w:before="156" w:beforeLines="50" w:line="360" w:lineRule="auto"/>
              <w:jc w:val="center"/>
              <w:rPr>
                <w:rFonts w:ascii="宋体" w:hAnsi="宋体" w:cs="宋体"/>
                <w:b/>
                <w:sz w:val="24"/>
              </w:rPr>
            </w:pPr>
            <w:r>
              <w:rPr>
                <w:rFonts w:hint="eastAsia" w:ascii="宋体" w:hAnsi="宋体" w:cs="宋体"/>
                <w:b/>
                <w:kern w:val="0"/>
                <w:sz w:val="24"/>
              </w:rPr>
              <w:t>套</w:t>
            </w:r>
          </w:p>
        </w:tc>
      </w:tr>
      <w:tr w14:paraId="202E6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1408" w:type="dxa"/>
          </w:tcPr>
          <w:p w14:paraId="25CF8BD1">
            <w:pPr>
              <w:pStyle w:val="7"/>
              <w:numPr>
                <w:ilvl w:val="0"/>
                <w:numId w:val="1"/>
              </w:numPr>
              <w:snapToGrid w:val="0"/>
              <w:spacing w:before="156" w:beforeLines="50" w:line="360" w:lineRule="auto"/>
              <w:ind w:firstLineChars="0"/>
              <w:jc w:val="center"/>
              <w:rPr>
                <w:rFonts w:ascii="宋体" w:hAnsi="宋体" w:cs="宋体"/>
                <w:bCs/>
              </w:rPr>
            </w:pPr>
            <w:bookmarkStart w:id="2" w:name="_Hlk214351497"/>
          </w:p>
        </w:tc>
        <w:tc>
          <w:tcPr>
            <w:tcW w:w="3803" w:type="dxa"/>
          </w:tcPr>
          <w:p w14:paraId="2633A945">
            <w:pPr>
              <w:widowControl/>
              <w:snapToGrid w:val="0"/>
              <w:spacing w:before="156" w:beforeLines="50" w:line="360" w:lineRule="auto"/>
              <w:rPr>
                <w:rFonts w:ascii="宋体" w:hAnsi="宋体" w:cs="宋体"/>
                <w:sz w:val="24"/>
              </w:rPr>
            </w:pPr>
            <w:r>
              <w:rPr>
                <w:rFonts w:hint="eastAsia" w:ascii="宋体" w:hAnsi="宋体" w:cs="宋体"/>
                <w:sz w:val="24"/>
              </w:rPr>
              <w:t>气压分路</w:t>
            </w:r>
          </w:p>
        </w:tc>
        <w:tc>
          <w:tcPr>
            <w:tcW w:w="2416" w:type="dxa"/>
          </w:tcPr>
          <w:p w14:paraId="26F17577">
            <w:pPr>
              <w:widowControl/>
              <w:snapToGrid w:val="0"/>
              <w:spacing w:before="156" w:beforeLines="50" w:line="360" w:lineRule="auto"/>
              <w:jc w:val="center"/>
              <w:rPr>
                <w:rFonts w:ascii="宋体" w:hAnsi="宋体" w:cs="宋体"/>
                <w:kern w:val="0"/>
                <w:sz w:val="24"/>
              </w:rPr>
            </w:pPr>
            <w:r>
              <w:rPr>
                <w:rFonts w:hint="eastAsia" w:ascii="宋体" w:hAnsi="宋体" w:cs="宋体"/>
                <w:b/>
                <w:kern w:val="0"/>
                <w:sz w:val="24"/>
              </w:rPr>
              <w:t>≥6</w:t>
            </w:r>
          </w:p>
        </w:tc>
        <w:tc>
          <w:tcPr>
            <w:tcW w:w="1570" w:type="dxa"/>
          </w:tcPr>
          <w:p w14:paraId="18340EF4">
            <w:pPr>
              <w:widowControl/>
              <w:snapToGrid w:val="0"/>
              <w:spacing w:before="156" w:beforeLines="50" w:line="360" w:lineRule="auto"/>
              <w:jc w:val="center"/>
              <w:rPr>
                <w:rFonts w:ascii="宋体" w:hAnsi="宋体" w:cs="宋体"/>
                <w:kern w:val="0"/>
                <w:sz w:val="24"/>
              </w:rPr>
            </w:pPr>
            <w:r>
              <w:rPr>
                <w:rFonts w:hint="eastAsia" w:ascii="宋体" w:hAnsi="宋体" w:cs="宋体"/>
                <w:kern w:val="0"/>
                <w:sz w:val="24"/>
              </w:rPr>
              <w:t>路</w:t>
            </w:r>
          </w:p>
        </w:tc>
      </w:tr>
      <w:bookmarkEnd w:id="2"/>
      <w:tr w14:paraId="3F809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1408" w:type="dxa"/>
          </w:tcPr>
          <w:p w14:paraId="3026C156">
            <w:pPr>
              <w:widowControl/>
              <w:snapToGrid w:val="0"/>
              <w:spacing w:before="156" w:beforeLines="50" w:line="360" w:lineRule="auto"/>
              <w:jc w:val="center"/>
              <w:rPr>
                <w:rFonts w:ascii="宋体" w:hAnsi="宋体" w:cs="宋体"/>
                <w:b/>
                <w:sz w:val="24"/>
              </w:rPr>
            </w:pPr>
            <w:r>
              <w:rPr>
                <w:rFonts w:hint="eastAsia" w:ascii="宋体" w:hAnsi="宋体" w:cs="宋体"/>
                <w:b/>
                <w:sz w:val="24"/>
              </w:rPr>
              <w:t>二</w:t>
            </w:r>
          </w:p>
        </w:tc>
        <w:tc>
          <w:tcPr>
            <w:tcW w:w="3803" w:type="dxa"/>
          </w:tcPr>
          <w:p w14:paraId="59D3C254">
            <w:pPr>
              <w:widowControl/>
              <w:snapToGrid w:val="0"/>
              <w:spacing w:before="156" w:beforeLines="50" w:line="360" w:lineRule="auto"/>
              <w:rPr>
                <w:rFonts w:ascii="宋体" w:hAnsi="宋体" w:cs="宋体"/>
                <w:b/>
                <w:kern w:val="0"/>
                <w:sz w:val="24"/>
              </w:rPr>
            </w:pPr>
            <w:r>
              <w:rPr>
                <w:rFonts w:hint="eastAsia" w:ascii="宋体" w:hAnsi="宋体" w:cs="宋体"/>
                <w:b/>
                <w:sz w:val="24"/>
              </w:rPr>
              <w:t>抛光模块</w:t>
            </w:r>
          </w:p>
        </w:tc>
        <w:tc>
          <w:tcPr>
            <w:tcW w:w="2416" w:type="dxa"/>
          </w:tcPr>
          <w:p w14:paraId="2BD2F24C">
            <w:pPr>
              <w:widowControl/>
              <w:snapToGrid w:val="0"/>
              <w:spacing w:before="156" w:beforeLines="50" w:line="360" w:lineRule="auto"/>
              <w:jc w:val="center"/>
              <w:rPr>
                <w:rFonts w:ascii="宋体" w:hAnsi="宋体" w:cs="宋体"/>
                <w:b/>
                <w:kern w:val="0"/>
                <w:sz w:val="24"/>
              </w:rPr>
            </w:pPr>
            <w:r>
              <w:rPr>
                <w:rFonts w:hint="eastAsia" w:ascii="宋体" w:hAnsi="宋体" w:cs="宋体"/>
                <w:b/>
                <w:kern w:val="0"/>
                <w:sz w:val="24"/>
              </w:rPr>
              <w:t>1</w:t>
            </w:r>
          </w:p>
        </w:tc>
        <w:tc>
          <w:tcPr>
            <w:tcW w:w="1570" w:type="dxa"/>
          </w:tcPr>
          <w:p w14:paraId="56A62905">
            <w:pPr>
              <w:widowControl/>
              <w:snapToGrid w:val="0"/>
              <w:spacing w:before="156" w:beforeLines="50" w:line="360" w:lineRule="auto"/>
              <w:jc w:val="center"/>
              <w:rPr>
                <w:rFonts w:ascii="宋体" w:hAnsi="宋体" w:cs="宋体"/>
                <w:b/>
                <w:kern w:val="0"/>
                <w:sz w:val="24"/>
              </w:rPr>
            </w:pPr>
            <w:r>
              <w:rPr>
                <w:rFonts w:hint="eastAsia" w:ascii="宋体" w:hAnsi="宋体" w:cs="宋体"/>
                <w:b/>
                <w:kern w:val="0"/>
                <w:sz w:val="24"/>
              </w:rPr>
              <w:t>套</w:t>
            </w:r>
          </w:p>
        </w:tc>
      </w:tr>
      <w:tr w14:paraId="5D8D2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1408" w:type="dxa"/>
          </w:tcPr>
          <w:p w14:paraId="42FD1CDF">
            <w:pPr>
              <w:pStyle w:val="7"/>
              <w:numPr>
                <w:ilvl w:val="0"/>
                <w:numId w:val="2"/>
              </w:numPr>
              <w:snapToGrid w:val="0"/>
              <w:spacing w:before="156" w:beforeLines="50" w:line="360" w:lineRule="auto"/>
              <w:ind w:firstLineChars="0"/>
              <w:jc w:val="center"/>
              <w:rPr>
                <w:rFonts w:ascii="宋体" w:hAnsi="宋体" w:cs="宋体"/>
                <w:bCs/>
              </w:rPr>
            </w:pPr>
          </w:p>
        </w:tc>
        <w:tc>
          <w:tcPr>
            <w:tcW w:w="3803" w:type="dxa"/>
          </w:tcPr>
          <w:p w14:paraId="03496D1C">
            <w:pPr>
              <w:widowControl/>
              <w:snapToGrid w:val="0"/>
              <w:spacing w:before="156" w:beforeLines="50" w:line="360" w:lineRule="auto"/>
              <w:rPr>
                <w:rFonts w:ascii="宋体" w:hAnsi="宋体" w:cs="宋体"/>
                <w:sz w:val="24"/>
              </w:rPr>
            </w:pPr>
            <w:r>
              <w:rPr>
                <w:rFonts w:hint="eastAsia" w:ascii="宋体" w:hAnsi="宋体" w:cs="宋体"/>
                <w:sz w:val="24"/>
              </w:rPr>
              <w:t>6英寸抛光头</w:t>
            </w:r>
          </w:p>
        </w:tc>
        <w:tc>
          <w:tcPr>
            <w:tcW w:w="2416" w:type="dxa"/>
          </w:tcPr>
          <w:p w14:paraId="32EB7356">
            <w:pPr>
              <w:widowControl/>
              <w:snapToGrid w:val="0"/>
              <w:spacing w:before="156" w:beforeLines="50" w:line="360" w:lineRule="auto"/>
              <w:jc w:val="center"/>
              <w:rPr>
                <w:rFonts w:ascii="宋体" w:hAnsi="宋体" w:cs="宋体"/>
                <w:kern w:val="0"/>
                <w:sz w:val="24"/>
              </w:rPr>
            </w:pPr>
            <w:r>
              <w:rPr>
                <w:rFonts w:hint="eastAsia" w:ascii="宋体" w:hAnsi="宋体" w:cs="宋体"/>
                <w:b/>
                <w:kern w:val="0"/>
                <w:sz w:val="24"/>
              </w:rPr>
              <w:t>≥</w:t>
            </w:r>
            <w:r>
              <w:rPr>
                <w:rFonts w:hint="eastAsia" w:ascii="宋体" w:hAnsi="宋体" w:cs="宋体"/>
                <w:kern w:val="0"/>
                <w:sz w:val="24"/>
              </w:rPr>
              <w:t>1</w:t>
            </w:r>
          </w:p>
        </w:tc>
        <w:tc>
          <w:tcPr>
            <w:tcW w:w="1570" w:type="dxa"/>
          </w:tcPr>
          <w:p w14:paraId="0DB46B83">
            <w:pPr>
              <w:widowControl/>
              <w:snapToGrid w:val="0"/>
              <w:spacing w:before="156" w:beforeLines="50" w:line="360" w:lineRule="auto"/>
              <w:jc w:val="center"/>
              <w:rPr>
                <w:rFonts w:ascii="宋体" w:hAnsi="宋体" w:cs="宋体"/>
                <w:kern w:val="0"/>
                <w:sz w:val="24"/>
              </w:rPr>
            </w:pPr>
            <w:r>
              <w:rPr>
                <w:rFonts w:hint="eastAsia" w:ascii="宋体" w:hAnsi="宋体" w:cs="宋体"/>
                <w:kern w:val="0"/>
                <w:sz w:val="24"/>
              </w:rPr>
              <w:t>件</w:t>
            </w:r>
          </w:p>
        </w:tc>
      </w:tr>
      <w:tr w14:paraId="28BFC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1408" w:type="dxa"/>
          </w:tcPr>
          <w:p w14:paraId="0BF98E86">
            <w:pPr>
              <w:pStyle w:val="7"/>
              <w:numPr>
                <w:ilvl w:val="0"/>
                <w:numId w:val="2"/>
              </w:numPr>
              <w:snapToGrid w:val="0"/>
              <w:spacing w:before="156" w:beforeLines="50" w:line="360" w:lineRule="auto"/>
              <w:ind w:firstLineChars="0"/>
              <w:jc w:val="center"/>
              <w:rPr>
                <w:rFonts w:ascii="宋体" w:hAnsi="宋体" w:cs="宋体"/>
                <w:bCs/>
              </w:rPr>
            </w:pPr>
          </w:p>
        </w:tc>
        <w:tc>
          <w:tcPr>
            <w:tcW w:w="3803" w:type="dxa"/>
          </w:tcPr>
          <w:p w14:paraId="7FDD71EF">
            <w:pPr>
              <w:widowControl/>
              <w:snapToGrid w:val="0"/>
              <w:spacing w:before="156" w:beforeLines="50" w:line="360" w:lineRule="auto"/>
              <w:rPr>
                <w:rFonts w:ascii="宋体" w:hAnsi="宋体" w:cs="宋体"/>
                <w:sz w:val="24"/>
              </w:rPr>
            </w:pPr>
            <w:r>
              <w:rPr>
                <w:rFonts w:hint="eastAsia" w:ascii="宋体" w:hAnsi="宋体" w:cs="宋体"/>
                <w:sz w:val="24"/>
              </w:rPr>
              <w:t>抛光头主轴</w:t>
            </w:r>
          </w:p>
        </w:tc>
        <w:tc>
          <w:tcPr>
            <w:tcW w:w="2416" w:type="dxa"/>
          </w:tcPr>
          <w:p w14:paraId="6D68D40F">
            <w:pPr>
              <w:widowControl/>
              <w:snapToGrid w:val="0"/>
              <w:spacing w:before="156" w:beforeLines="50" w:line="360" w:lineRule="auto"/>
              <w:jc w:val="center"/>
              <w:rPr>
                <w:rFonts w:ascii="宋体" w:hAnsi="宋体" w:cs="宋体"/>
                <w:kern w:val="0"/>
                <w:sz w:val="24"/>
              </w:rPr>
            </w:pPr>
            <w:r>
              <w:rPr>
                <w:rFonts w:hint="eastAsia" w:ascii="宋体" w:hAnsi="宋体" w:cs="宋体"/>
                <w:b/>
                <w:kern w:val="0"/>
                <w:sz w:val="24"/>
              </w:rPr>
              <w:t>≥</w:t>
            </w:r>
            <w:r>
              <w:rPr>
                <w:rFonts w:hint="eastAsia" w:ascii="宋体" w:hAnsi="宋体" w:cs="宋体"/>
                <w:kern w:val="0"/>
                <w:sz w:val="24"/>
              </w:rPr>
              <w:t>1</w:t>
            </w:r>
          </w:p>
        </w:tc>
        <w:tc>
          <w:tcPr>
            <w:tcW w:w="1570" w:type="dxa"/>
          </w:tcPr>
          <w:p w14:paraId="699C3590">
            <w:pPr>
              <w:widowControl/>
              <w:snapToGrid w:val="0"/>
              <w:spacing w:before="156" w:beforeLines="50" w:line="360" w:lineRule="auto"/>
              <w:jc w:val="center"/>
              <w:rPr>
                <w:rFonts w:ascii="宋体" w:hAnsi="宋体" w:cs="宋体"/>
                <w:kern w:val="0"/>
                <w:sz w:val="24"/>
              </w:rPr>
            </w:pPr>
            <w:r>
              <w:rPr>
                <w:rFonts w:hint="eastAsia" w:ascii="宋体" w:hAnsi="宋体" w:cs="宋体"/>
                <w:kern w:val="0"/>
                <w:sz w:val="24"/>
              </w:rPr>
              <w:t>套</w:t>
            </w:r>
          </w:p>
        </w:tc>
      </w:tr>
      <w:tr w14:paraId="11F97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1408" w:type="dxa"/>
          </w:tcPr>
          <w:p w14:paraId="605E126B">
            <w:pPr>
              <w:pStyle w:val="7"/>
              <w:numPr>
                <w:ilvl w:val="0"/>
                <w:numId w:val="2"/>
              </w:numPr>
              <w:snapToGrid w:val="0"/>
              <w:spacing w:before="156" w:beforeLines="50" w:line="360" w:lineRule="auto"/>
              <w:ind w:firstLineChars="0"/>
              <w:jc w:val="center"/>
              <w:rPr>
                <w:rFonts w:ascii="宋体" w:hAnsi="宋体" w:cs="宋体"/>
                <w:bCs/>
              </w:rPr>
            </w:pPr>
          </w:p>
        </w:tc>
        <w:tc>
          <w:tcPr>
            <w:tcW w:w="3803" w:type="dxa"/>
          </w:tcPr>
          <w:p w14:paraId="13F589A3">
            <w:pPr>
              <w:widowControl/>
              <w:snapToGrid w:val="0"/>
              <w:spacing w:before="156" w:beforeLines="50" w:line="360" w:lineRule="auto"/>
              <w:rPr>
                <w:rFonts w:ascii="宋体" w:hAnsi="宋体" w:cs="宋体"/>
                <w:sz w:val="24"/>
              </w:rPr>
            </w:pPr>
            <w:bookmarkStart w:id="3" w:name="OLE_LINK5"/>
            <w:r>
              <w:rPr>
                <w:rFonts w:hint="eastAsia" w:ascii="宋体" w:hAnsi="宋体" w:cs="宋体"/>
                <w:sz w:val="24"/>
              </w:rPr>
              <w:t>内部气膜</w:t>
            </w:r>
            <w:bookmarkEnd w:id="3"/>
          </w:p>
        </w:tc>
        <w:tc>
          <w:tcPr>
            <w:tcW w:w="2416" w:type="dxa"/>
          </w:tcPr>
          <w:p w14:paraId="4DADE1DE">
            <w:pPr>
              <w:widowControl/>
              <w:snapToGrid w:val="0"/>
              <w:spacing w:before="156" w:beforeLines="50" w:line="360" w:lineRule="auto"/>
              <w:jc w:val="center"/>
              <w:rPr>
                <w:rFonts w:ascii="宋体" w:hAnsi="宋体" w:cs="宋体"/>
                <w:kern w:val="0"/>
                <w:sz w:val="24"/>
              </w:rPr>
            </w:pPr>
            <w:r>
              <w:rPr>
                <w:rFonts w:hint="eastAsia" w:ascii="宋体" w:hAnsi="宋体" w:cs="宋体"/>
                <w:b/>
                <w:kern w:val="0"/>
                <w:sz w:val="24"/>
              </w:rPr>
              <w:t>≥</w:t>
            </w:r>
            <w:r>
              <w:rPr>
                <w:rFonts w:hint="eastAsia" w:ascii="宋体" w:hAnsi="宋体" w:cs="宋体"/>
                <w:kern w:val="0"/>
                <w:sz w:val="24"/>
              </w:rPr>
              <w:t>3</w:t>
            </w:r>
          </w:p>
        </w:tc>
        <w:tc>
          <w:tcPr>
            <w:tcW w:w="1570" w:type="dxa"/>
          </w:tcPr>
          <w:p w14:paraId="22BEEF92">
            <w:pPr>
              <w:widowControl/>
              <w:snapToGrid w:val="0"/>
              <w:spacing w:before="156" w:beforeLines="50" w:line="360" w:lineRule="auto"/>
              <w:jc w:val="center"/>
              <w:rPr>
                <w:rFonts w:ascii="宋体" w:hAnsi="宋体" w:cs="宋体"/>
                <w:kern w:val="0"/>
                <w:sz w:val="24"/>
              </w:rPr>
            </w:pPr>
            <w:r>
              <w:rPr>
                <w:rFonts w:hint="eastAsia" w:ascii="宋体" w:hAnsi="宋体" w:cs="宋体"/>
                <w:kern w:val="0"/>
                <w:sz w:val="24"/>
              </w:rPr>
              <w:t>张</w:t>
            </w:r>
          </w:p>
        </w:tc>
      </w:tr>
      <w:tr w14:paraId="20763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1408" w:type="dxa"/>
          </w:tcPr>
          <w:p w14:paraId="2AB405B8">
            <w:pPr>
              <w:pStyle w:val="7"/>
              <w:numPr>
                <w:ilvl w:val="0"/>
                <w:numId w:val="2"/>
              </w:numPr>
              <w:snapToGrid w:val="0"/>
              <w:spacing w:before="156" w:beforeLines="50" w:line="360" w:lineRule="auto"/>
              <w:ind w:firstLineChars="0"/>
              <w:jc w:val="center"/>
              <w:rPr>
                <w:rFonts w:ascii="宋体" w:hAnsi="宋体" w:cs="宋体"/>
                <w:bCs/>
              </w:rPr>
            </w:pPr>
          </w:p>
        </w:tc>
        <w:tc>
          <w:tcPr>
            <w:tcW w:w="3803" w:type="dxa"/>
          </w:tcPr>
          <w:p w14:paraId="574C2362">
            <w:pPr>
              <w:widowControl/>
              <w:snapToGrid w:val="0"/>
              <w:spacing w:before="156" w:beforeLines="50" w:line="360" w:lineRule="auto"/>
              <w:rPr>
                <w:rFonts w:ascii="宋体" w:hAnsi="宋体" w:cs="宋体"/>
                <w:sz w:val="24"/>
              </w:rPr>
            </w:pPr>
            <w:r>
              <w:rPr>
                <w:rFonts w:hint="eastAsia" w:ascii="宋体" w:hAnsi="宋体"/>
                <w:snapToGrid w:val="0"/>
                <w:sz w:val="24"/>
              </w:rPr>
              <w:t>抛光盘</w:t>
            </w:r>
          </w:p>
        </w:tc>
        <w:tc>
          <w:tcPr>
            <w:tcW w:w="2416" w:type="dxa"/>
          </w:tcPr>
          <w:p w14:paraId="1EF641A4">
            <w:pPr>
              <w:widowControl/>
              <w:snapToGrid w:val="0"/>
              <w:spacing w:before="156" w:beforeLines="50" w:line="360" w:lineRule="auto"/>
              <w:jc w:val="center"/>
              <w:rPr>
                <w:rFonts w:ascii="宋体" w:hAnsi="宋体" w:cs="宋体"/>
                <w:kern w:val="0"/>
                <w:sz w:val="24"/>
              </w:rPr>
            </w:pPr>
            <w:r>
              <w:rPr>
                <w:rFonts w:hint="eastAsia" w:ascii="宋体" w:hAnsi="宋体" w:cs="宋体"/>
                <w:b/>
                <w:kern w:val="0"/>
                <w:sz w:val="24"/>
              </w:rPr>
              <w:t>≥</w:t>
            </w:r>
            <w:r>
              <w:rPr>
                <w:rFonts w:ascii="宋体" w:hAnsi="宋体" w:cs="宋体"/>
                <w:kern w:val="0"/>
                <w:sz w:val="24"/>
              </w:rPr>
              <w:t>2</w:t>
            </w:r>
          </w:p>
        </w:tc>
        <w:tc>
          <w:tcPr>
            <w:tcW w:w="1570" w:type="dxa"/>
          </w:tcPr>
          <w:p w14:paraId="6840FEA7">
            <w:pPr>
              <w:widowControl/>
              <w:snapToGrid w:val="0"/>
              <w:spacing w:before="156" w:beforeLines="50" w:line="360" w:lineRule="auto"/>
              <w:jc w:val="center"/>
              <w:rPr>
                <w:rFonts w:ascii="宋体" w:hAnsi="宋体" w:cs="宋体"/>
                <w:kern w:val="0"/>
                <w:sz w:val="24"/>
              </w:rPr>
            </w:pPr>
            <w:r>
              <w:rPr>
                <w:rFonts w:hint="eastAsia" w:ascii="宋体" w:hAnsi="宋体" w:cs="宋体"/>
                <w:kern w:val="0"/>
                <w:sz w:val="24"/>
              </w:rPr>
              <w:t>件</w:t>
            </w:r>
          </w:p>
        </w:tc>
      </w:tr>
      <w:tr w14:paraId="52C78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1408" w:type="dxa"/>
          </w:tcPr>
          <w:p w14:paraId="713CC90C">
            <w:pPr>
              <w:pStyle w:val="7"/>
              <w:numPr>
                <w:ilvl w:val="0"/>
                <w:numId w:val="2"/>
              </w:numPr>
              <w:snapToGrid w:val="0"/>
              <w:spacing w:before="156" w:beforeLines="50" w:line="360" w:lineRule="auto"/>
              <w:ind w:firstLineChars="0"/>
              <w:jc w:val="center"/>
              <w:rPr>
                <w:rFonts w:ascii="宋体" w:hAnsi="宋体" w:cs="宋体"/>
                <w:bCs/>
              </w:rPr>
            </w:pPr>
          </w:p>
        </w:tc>
        <w:tc>
          <w:tcPr>
            <w:tcW w:w="3803" w:type="dxa"/>
          </w:tcPr>
          <w:p w14:paraId="43F9D7DB">
            <w:pPr>
              <w:widowControl/>
              <w:snapToGrid w:val="0"/>
              <w:spacing w:before="156" w:beforeLines="50" w:line="360" w:lineRule="auto"/>
              <w:rPr>
                <w:rFonts w:ascii="宋体" w:hAnsi="宋体" w:cs="宋体"/>
                <w:sz w:val="24"/>
              </w:rPr>
            </w:pPr>
            <w:r>
              <w:rPr>
                <w:rFonts w:hint="eastAsia" w:ascii="宋体" w:hAnsi="宋体" w:cs="宋体"/>
                <w:sz w:val="24"/>
              </w:rPr>
              <w:t>修整头</w:t>
            </w:r>
          </w:p>
        </w:tc>
        <w:tc>
          <w:tcPr>
            <w:tcW w:w="2416" w:type="dxa"/>
          </w:tcPr>
          <w:p w14:paraId="62DAC832">
            <w:pPr>
              <w:widowControl/>
              <w:snapToGrid w:val="0"/>
              <w:spacing w:before="156" w:beforeLines="50" w:line="360" w:lineRule="auto"/>
              <w:jc w:val="center"/>
              <w:rPr>
                <w:rFonts w:ascii="宋体" w:hAnsi="宋体" w:cs="宋体"/>
                <w:kern w:val="0"/>
                <w:sz w:val="24"/>
              </w:rPr>
            </w:pPr>
            <w:r>
              <w:rPr>
                <w:rFonts w:hint="eastAsia" w:ascii="宋体" w:hAnsi="宋体" w:cs="宋体"/>
                <w:b/>
                <w:kern w:val="0"/>
                <w:sz w:val="24"/>
              </w:rPr>
              <w:t>≥</w:t>
            </w:r>
            <w:r>
              <w:rPr>
                <w:rFonts w:hint="eastAsia" w:ascii="宋体" w:hAnsi="宋体" w:cs="宋体"/>
                <w:kern w:val="0"/>
                <w:sz w:val="24"/>
              </w:rPr>
              <w:t>1</w:t>
            </w:r>
          </w:p>
        </w:tc>
        <w:tc>
          <w:tcPr>
            <w:tcW w:w="1570" w:type="dxa"/>
          </w:tcPr>
          <w:p w14:paraId="7E3F059F">
            <w:pPr>
              <w:widowControl/>
              <w:snapToGrid w:val="0"/>
              <w:spacing w:before="156" w:beforeLines="50" w:line="360" w:lineRule="auto"/>
              <w:jc w:val="center"/>
              <w:rPr>
                <w:rFonts w:ascii="宋体" w:hAnsi="宋体" w:cs="宋体"/>
                <w:kern w:val="0"/>
                <w:sz w:val="24"/>
              </w:rPr>
            </w:pPr>
            <w:r>
              <w:rPr>
                <w:rFonts w:hint="eastAsia" w:ascii="宋体" w:hAnsi="宋体" w:cs="宋体"/>
                <w:kern w:val="0"/>
                <w:sz w:val="24"/>
              </w:rPr>
              <w:t>套</w:t>
            </w:r>
          </w:p>
        </w:tc>
      </w:tr>
      <w:tr w14:paraId="1234F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1408" w:type="dxa"/>
          </w:tcPr>
          <w:p w14:paraId="4CAC5088">
            <w:pPr>
              <w:pStyle w:val="7"/>
              <w:snapToGrid w:val="0"/>
              <w:spacing w:before="156" w:beforeLines="50" w:line="360" w:lineRule="auto"/>
              <w:ind w:left="440" w:firstLine="0" w:firstLineChars="0"/>
              <w:rPr>
                <w:rFonts w:ascii="宋体" w:hAnsi="宋体" w:cs="宋体"/>
                <w:b/>
              </w:rPr>
            </w:pPr>
            <w:r>
              <w:rPr>
                <w:rFonts w:hint="eastAsia" w:ascii="宋体" w:hAnsi="宋体" w:cs="宋体"/>
                <w:b/>
              </w:rPr>
              <w:t>三</w:t>
            </w:r>
          </w:p>
        </w:tc>
        <w:tc>
          <w:tcPr>
            <w:tcW w:w="3803" w:type="dxa"/>
          </w:tcPr>
          <w:p w14:paraId="099A62B4">
            <w:pPr>
              <w:widowControl/>
              <w:snapToGrid w:val="0"/>
              <w:spacing w:before="156" w:beforeLines="50" w:line="360" w:lineRule="auto"/>
              <w:rPr>
                <w:rFonts w:ascii="宋体" w:hAnsi="宋体" w:cs="宋体"/>
                <w:b/>
                <w:sz w:val="24"/>
              </w:rPr>
            </w:pPr>
            <w:r>
              <w:rPr>
                <w:rFonts w:hint="eastAsia" w:ascii="宋体" w:hAnsi="宋体" w:cs="宋体"/>
                <w:b/>
                <w:sz w:val="24"/>
              </w:rPr>
              <w:t>供液/排液模块</w:t>
            </w:r>
          </w:p>
        </w:tc>
        <w:tc>
          <w:tcPr>
            <w:tcW w:w="2416" w:type="dxa"/>
          </w:tcPr>
          <w:p w14:paraId="02C93915">
            <w:pPr>
              <w:widowControl/>
              <w:snapToGrid w:val="0"/>
              <w:spacing w:before="156" w:beforeLines="50" w:line="360" w:lineRule="auto"/>
              <w:jc w:val="center"/>
              <w:rPr>
                <w:rFonts w:ascii="宋体" w:hAnsi="宋体" w:cs="宋体"/>
                <w:kern w:val="0"/>
                <w:sz w:val="24"/>
              </w:rPr>
            </w:pPr>
            <w:r>
              <w:rPr>
                <w:rFonts w:hint="eastAsia" w:ascii="宋体" w:hAnsi="宋体" w:cs="宋体"/>
                <w:b/>
                <w:kern w:val="0"/>
                <w:sz w:val="24"/>
              </w:rPr>
              <w:t>1</w:t>
            </w:r>
          </w:p>
        </w:tc>
        <w:tc>
          <w:tcPr>
            <w:tcW w:w="1570" w:type="dxa"/>
          </w:tcPr>
          <w:p w14:paraId="7C9F9C1D">
            <w:pPr>
              <w:widowControl/>
              <w:snapToGrid w:val="0"/>
              <w:spacing w:before="156" w:beforeLines="50" w:line="360" w:lineRule="auto"/>
              <w:jc w:val="center"/>
              <w:rPr>
                <w:rFonts w:ascii="宋体" w:hAnsi="宋体" w:cs="宋体"/>
                <w:kern w:val="0"/>
                <w:sz w:val="24"/>
              </w:rPr>
            </w:pPr>
            <w:r>
              <w:rPr>
                <w:rFonts w:hint="eastAsia" w:ascii="宋体" w:hAnsi="宋体" w:cs="宋体"/>
                <w:b/>
                <w:kern w:val="0"/>
                <w:sz w:val="24"/>
              </w:rPr>
              <w:t>套</w:t>
            </w:r>
          </w:p>
        </w:tc>
      </w:tr>
      <w:tr w14:paraId="2DEF7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1408" w:type="dxa"/>
          </w:tcPr>
          <w:p w14:paraId="15997FA2">
            <w:pPr>
              <w:pStyle w:val="7"/>
              <w:numPr>
                <w:ilvl w:val="0"/>
                <w:numId w:val="3"/>
              </w:numPr>
              <w:snapToGrid w:val="0"/>
              <w:spacing w:before="156" w:beforeLines="50" w:line="360" w:lineRule="auto"/>
              <w:ind w:firstLineChars="0"/>
              <w:rPr>
                <w:rFonts w:ascii="宋体" w:hAnsi="宋体" w:cs="宋体"/>
                <w:bCs/>
              </w:rPr>
            </w:pPr>
          </w:p>
        </w:tc>
        <w:tc>
          <w:tcPr>
            <w:tcW w:w="3803" w:type="dxa"/>
          </w:tcPr>
          <w:p w14:paraId="3CC22858">
            <w:pPr>
              <w:widowControl/>
              <w:snapToGrid w:val="0"/>
              <w:spacing w:before="156" w:beforeLines="50" w:line="360" w:lineRule="auto"/>
              <w:rPr>
                <w:rFonts w:ascii="宋体" w:hAnsi="宋体" w:cs="宋体"/>
                <w:sz w:val="24"/>
              </w:rPr>
            </w:pPr>
            <w:r>
              <w:rPr>
                <w:rFonts w:hint="eastAsia" w:ascii="宋体" w:hAnsi="宋体" w:cs="宋体"/>
                <w:sz w:val="24"/>
              </w:rPr>
              <w:t>抛光液供液管路</w:t>
            </w:r>
          </w:p>
        </w:tc>
        <w:tc>
          <w:tcPr>
            <w:tcW w:w="2416" w:type="dxa"/>
          </w:tcPr>
          <w:p w14:paraId="7F927E2C">
            <w:pPr>
              <w:widowControl/>
              <w:snapToGrid w:val="0"/>
              <w:spacing w:before="156" w:beforeLines="50" w:line="360" w:lineRule="auto"/>
              <w:jc w:val="center"/>
              <w:rPr>
                <w:rFonts w:ascii="宋体" w:hAnsi="宋体" w:cs="宋体"/>
                <w:kern w:val="0"/>
                <w:sz w:val="24"/>
              </w:rPr>
            </w:pPr>
            <w:r>
              <w:rPr>
                <w:rFonts w:hint="eastAsia" w:ascii="宋体" w:hAnsi="宋体" w:cs="宋体"/>
                <w:b/>
                <w:kern w:val="0"/>
                <w:sz w:val="24"/>
              </w:rPr>
              <w:t>≥</w:t>
            </w:r>
            <w:r>
              <w:rPr>
                <w:rFonts w:hint="eastAsia" w:ascii="宋体" w:hAnsi="宋体" w:cs="宋体"/>
                <w:kern w:val="0"/>
                <w:sz w:val="24"/>
              </w:rPr>
              <w:t>2</w:t>
            </w:r>
          </w:p>
        </w:tc>
        <w:tc>
          <w:tcPr>
            <w:tcW w:w="1570" w:type="dxa"/>
          </w:tcPr>
          <w:p w14:paraId="31FF65C1">
            <w:pPr>
              <w:widowControl/>
              <w:snapToGrid w:val="0"/>
              <w:spacing w:before="156" w:beforeLines="50" w:line="360" w:lineRule="auto"/>
              <w:jc w:val="center"/>
              <w:rPr>
                <w:rFonts w:ascii="宋体" w:hAnsi="宋体" w:cs="宋体"/>
                <w:kern w:val="0"/>
                <w:sz w:val="24"/>
              </w:rPr>
            </w:pPr>
            <w:r>
              <w:rPr>
                <w:rFonts w:hint="eastAsia" w:ascii="宋体" w:hAnsi="宋体" w:cs="宋体"/>
                <w:kern w:val="0"/>
                <w:sz w:val="24"/>
              </w:rPr>
              <w:t>套</w:t>
            </w:r>
          </w:p>
        </w:tc>
      </w:tr>
      <w:tr w14:paraId="486A1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1408" w:type="dxa"/>
          </w:tcPr>
          <w:p w14:paraId="5776B784">
            <w:pPr>
              <w:pStyle w:val="7"/>
              <w:numPr>
                <w:ilvl w:val="0"/>
                <w:numId w:val="3"/>
              </w:numPr>
              <w:snapToGrid w:val="0"/>
              <w:spacing w:before="156" w:beforeLines="50" w:line="360" w:lineRule="auto"/>
              <w:ind w:firstLineChars="0"/>
              <w:rPr>
                <w:rFonts w:ascii="宋体" w:hAnsi="宋体" w:cs="宋体"/>
                <w:bCs/>
              </w:rPr>
            </w:pPr>
          </w:p>
        </w:tc>
        <w:tc>
          <w:tcPr>
            <w:tcW w:w="3803" w:type="dxa"/>
          </w:tcPr>
          <w:p w14:paraId="006B3705">
            <w:pPr>
              <w:widowControl/>
              <w:snapToGrid w:val="0"/>
              <w:spacing w:before="156" w:beforeLines="50" w:line="360" w:lineRule="auto"/>
              <w:rPr>
                <w:rFonts w:ascii="宋体" w:hAnsi="宋体" w:cs="宋体"/>
                <w:sz w:val="24"/>
              </w:rPr>
            </w:pPr>
            <w:r>
              <w:rPr>
                <w:rFonts w:hint="eastAsia" w:ascii="宋体" w:hAnsi="宋体" w:cs="宋体"/>
                <w:sz w:val="24"/>
              </w:rPr>
              <w:t>蠕动泵</w:t>
            </w:r>
          </w:p>
        </w:tc>
        <w:tc>
          <w:tcPr>
            <w:tcW w:w="2416" w:type="dxa"/>
          </w:tcPr>
          <w:p w14:paraId="2C2A7C28">
            <w:pPr>
              <w:widowControl/>
              <w:snapToGrid w:val="0"/>
              <w:spacing w:before="156" w:beforeLines="50" w:line="360" w:lineRule="auto"/>
              <w:jc w:val="center"/>
              <w:rPr>
                <w:rFonts w:ascii="宋体" w:hAnsi="宋体" w:cs="宋体"/>
                <w:kern w:val="0"/>
                <w:sz w:val="24"/>
              </w:rPr>
            </w:pPr>
            <w:r>
              <w:rPr>
                <w:rFonts w:hint="eastAsia" w:ascii="宋体" w:hAnsi="宋体" w:cs="宋体"/>
                <w:b/>
                <w:kern w:val="0"/>
                <w:sz w:val="24"/>
              </w:rPr>
              <w:t>≥</w:t>
            </w:r>
            <w:r>
              <w:rPr>
                <w:rFonts w:hint="eastAsia" w:ascii="宋体" w:hAnsi="宋体" w:cs="宋体"/>
                <w:kern w:val="0"/>
                <w:sz w:val="24"/>
              </w:rPr>
              <w:t>2</w:t>
            </w:r>
          </w:p>
        </w:tc>
        <w:tc>
          <w:tcPr>
            <w:tcW w:w="1570" w:type="dxa"/>
          </w:tcPr>
          <w:p w14:paraId="74E9CCFE">
            <w:pPr>
              <w:widowControl/>
              <w:snapToGrid w:val="0"/>
              <w:spacing w:before="156" w:beforeLines="50" w:line="360" w:lineRule="auto"/>
              <w:jc w:val="center"/>
              <w:rPr>
                <w:rFonts w:ascii="宋体" w:hAnsi="宋体" w:cs="宋体"/>
                <w:kern w:val="0"/>
                <w:sz w:val="24"/>
              </w:rPr>
            </w:pPr>
            <w:r>
              <w:rPr>
                <w:rFonts w:hint="eastAsia" w:ascii="宋体" w:hAnsi="宋体" w:cs="宋体"/>
                <w:kern w:val="0"/>
                <w:sz w:val="24"/>
              </w:rPr>
              <w:t>台</w:t>
            </w:r>
          </w:p>
        </w:tc>
      </w:tr>
      <w:tr w14:paraId="64E9D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1408" w:type="dxa"/>
          </w:tcPr>
          <w:p w14:paraId="28DC2CC4">
            <w:pPr>
              <w:pStyle w:val="7"/>
              <w:numPr>
                <w:ilvl w:val="0"/>
                <w:numId w:val="3"/>
              </w:numPr>
              <w:snapToGrid w:val="0"/>
              <w:spacing w:before="156" w:beforeLines="50" w:line="360" w:lineRule="auto"/>
              <w:ind w:firstLineChars="0"/>
              <w:rPr>
                <w:rFonts w:ascii="宋体" w:hAnsi="宋体" w:cs="宋体"/>
                <w:bCs/>
              </w:rPr>
            </w:pPr>
          </w:p>
        </w:tc>
        <w:tc>
          <w:tcPr>
            <w:tcW w:w="3803" w:type="dxa"/>
          </w:tcPr>
          <w:p w14:paraId="21AE1859">
            <w:pPr>
              <w:widowControl/>
              <w:snapToGrid w:val="0"/>
              <w:spacing w:before="156" w:beforeLines="50" w:line="360" w:lineRule="auto"/>
              <w:rPr>
                <w:rFonts w:ascii="宋体" w:hAnsi="宋体" w:cs="宋体"/>
                <w:sz w:val="24"/>
              </w:rPr>
            </w:pPr>
            <w:r>
              <w:rPr>
                <w:rFonts w:hint="eastAsia" w:ascii="宋体" w:hAnsi="宋体"/>
                <w:snapToGrid w:val="0"/>
                <w:sz w:val="24"/>
              </w:rPr>
              <w:t>抛光液预混装置</w:t>
            </w:r>
          </w:p>
        </w:tc>
        <w:tc>
          <w:tcPr>
            <w:tcW w:w="2416" w:type="dxa"/>
          </w:tcPr>
          <w:p w14:paraId="2EE8CA33">
            <w:pPr>
              <w:widowControl/>
              <w:snapToGrid w:val="0"/>
              <w:spacing w:before="156" w:beforeLines="50" w:line="360" w:lineRule="auto"/>
              <w:jc w:val="center"/>
              <w:rPr>
                <w:rFonts w:ascii="宋体" w:hAnsi="宋体" w:cs="宋体"/>
                <w:kern w:val="0"/>
                <w:sz w:val="24"/>
              </w:rPr>
            </w:pPr>
            <w:r>
              <w:rPr>
                <w:rFonts w:hint="eastAsia" w:ascii="宋体" w:hAnsi="宋体" w:cs="宋体"/>
                <w:b/>
                <w:kern w:val="0"/>
                <w:sz w:val="24"/>
              </w:rPr>
              <w:t>≥</w:t>
            </w:r>
            <w:r>
              <w:rPr>
                <w:rFonts w:hint="eastAsia" w:ascii="宋体" w:hAnsi="宋体" w:cs="宋体"/>
                <w:kern w:val="0"/>
                <w:sz w:val="24"/>
              </w:rPr>
              <w:t>1</w:t>
            </w:r>
          </w:p>
        </w:tc>
        <w:tc>
          <w:tcPr>
            <w:tcW w:w="1570" w:type="dxa"/>
          </w:tcPr>
          <w:p w14:paraId="33A1E563">
            <w:pPr>
              <w:widowControl/>
              <w:snapToGrid w:val="0"/>
              <w:spacing w:before="156" w:beforeLines="50" w:line="360" w:lineRule="auto"/>
              <w:jc w:val="center"/>
              <w:rPr>
                <w:rFonts w:ascii="宋体" w:hAnsi="宋体" w:cs="宋体"/>
                <w:kern w:val="0"/>
                <w:sz w:val="24"/>
              </w:rPr>
            </w:pPr>
            <w:r>
              <w:rPr>
                <w:rFonts w:hint="eastAsia" w:ascii="宋体" w:hAnsi="宋体" w:cs="宋体"/>
                <w:kern w:val="0"/>
                <w:sz w:val="24"/>
              </w:rPr>
              <w:t>套</w:t>
            </w:r>
          </w:p>
        </w:tc>
      </w:tr>
      <w:tr w14:paraId="5A791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1408" w:type="dxa"/>
          </w:tcPr>
          <w:p w14:paraId="7B22D35A">
            <w:pPr>
              <w:pStyle w:val="7"/>
              <w:numPr>
                <w:ilvl w:val="0"/>
                <w:numId w:val="3"/>
              </w:numPr>
              <w:snapToGrid w:val="0"/>
              <w:spacing w:before="156" w:beforeLines="50" w:line="360" w:lineRule="auto"/>
              <w:ind w:firstLineChars="0"/>
              <w:rPr>
                <w:rFonts w:ascii="宋体" w:hAnsi="宋体" w:cs="宋体"/>
                <w:bCs/>
              </w:rPr>
            </w:pPr>
          </w:p>
        </w:tc>
        <w:tc>
          <w:tcPr>
            <w:tcW w:w="3803" w:type="dxa"/>
          </w:tcPr>
          <w:p w14:paraId="02130B07">
            <w:pPr>
              <w:widowControl/>
              <w:snapToGrid w:val="0"/>
              <w:spacing w:before="156" w:beforeLines="50" w:line="360" w:lineRule="auto"/>
              <w:rPr>
                <w:rFonts w:ascii="宋体" w:hAnsi="宋体"/>
                <w:snapToGrid w:val="0"/>
                <w:sz w:val="24"/>
              </w:rPr>
            </w:pPr>
            <w:r>
              <w:rPr>
                <w:rFonts w:hint="eastAsia" w:ascii="宋体" w:hAnsi="宋体"/>
                <w:sz w:val="24"/>
              </w:rPr>
              <w:t>抛光液过滤装置</w:t>
            </w:r>
          </w:p>
        </w:tc>
        <w:tc>
          <w:tcPr>
            <w:tcW w:w="2416" w:type="dxa"/>
          </w:tcPr>
          <w:p w14:paraId="2F9AAB3D">
            <w:pPr>
              <w:widowControl/>
              <w:snapToGrid w:val="0"/>
              <w:spacing w:before="156" w:beforeLines="50" w:line="360" w:lineRule="auto"/>
              <w:jc w:val="center"/>
              <w:rPr>
                <w:rFonts w:ascii="宋体" w:hAnsi="宋体" w:cs="宋体"/>
                <w:kern w:val="0"/>
                <w:sz w:val="24"/>
              </w:rPr>
            </w:pPr>
            <w:r>
              <w:rPr>
                <w:rFonts w:hint="eastAsia" w:ascii="宋体" w:hAnsi="宋体" w:cs="宋体"/>
                <w:b/>
                <w:kern w:val="0"/>
                <w:sz w:val="24"/>
              </w:rPr>
              <w:t>≥</w:t>
            </w:r>
            <w:r>
              <w:rPr>
                <w:rFonts w:hint="eastAsia" w:ascii="宋体" w:hAnsi="宋体" w:cs="宋体"/>
                <w:kern w:val="0"/>
                <w:sz w:val="24"/>
              </w:rPr>
              <w:t>1</w:t>
            </w:r>
          </w:p>
        </w:tc>
        <w:tc>
          <w:tcPr>
            <w:tcW w:w="1570" w:type="dxa"/>
          </w:tcPr>
          <w:p w14:paraId="5BA816A2">
            <w:pPr>
              <w:widowControl/>
              <w:snapToGrid w:val="0"/>
              <w:spacing w:before="156" w:beforeLines="50" w:line="360" w:lineRule="auto"/>
              <w:jc w:val="center"/>
              <w:rPr>
                <w:rFonts w:ascii="宋体" w:hAnsi="宋体" w:cs="宋体"/>
                <w:kern w:val="0"/>
                <w:sz w:val="24"/>
              </w:rPr>
            </w:pPr>
            <w:r>
              <w:rPr>
                <w:rFonts w:hint="eastAsia" w:ascii="宋体" w:hAnsi="宋体" w:cs="宋体"/>
                <w:kern w:val="0"/>
                <w:sz w:val="24"/>
              </w:rPr>
              <w:t>套</w:t>
            </w:r>
          </w:p>
        </w:tc>
      </w:tr>
      <w:tr w14:paraId="19192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1408" w:type="dxa"/>
          </w:tcPr>
          <w:p w14:paraId="734DA176">
            <w:pPr>
              <w:pStyle w:val="7"/>
              <w:numPr>
                <w:ilvl w:val="0"/>
                <w:numId w:val="3"/>
              </w:numPr>
              <w:snapToGrid w:val="0"/>
              <w:spacing w:before="156" w:beforeLines="50" w:line="360" w:lineRule="auto"/>
              <w:ind w:firstLineChars="0"/>
              <w:rPr>
                <w:rFonts w:ascii="宋体" w:hAnsi="宋体" w:cs="宋体"/>
                <w:bCs/>
              </w:rPr>
            </w:pPr>
          </w:p>
        </w:tc>
        <w:tc>
          <w:tcPr>
            <w:tcW w:w="3803" w:type="dxa"/>
          </w:tcPr>
          <w:p w14:paraId="043827CD">
            <w:pPr>
              <w:widowControl/>
              <w:snapToGrid w:val="0"/>
              <w:spacing w:before="156" w:beforeLines="50" w:line="360" w:lineRule="auto"/>
              <w:rPr>
                <w:rFonts w:ascii="宋体" w:hAnsi="宋体"/>
                <w:sz w:val="24"/>
              </w:rPr>
            </w:pPr>
            <w:r>
              <w:rPr>
                <w:rFonts w:hint="eastAsia" w:ascii="宋体" w:hAnsi="宋体"/>
                <w:sz w:val="24"/>
              </w:rPr>
              <w:t>排液装置</w:t>
            </w:r>
          </w:p>
        </w:tc>
        <w:tc>
          <w:tcPr>
            <w:tcW w:w="2416" w:type="dxa"/>
          </w:tcPr>
          <w:p w14:paraId="795BA7BB">
            <w:pPr>
              <w:widowControl/>
              <w:snapToGrid w:val="0"/>
              <w:spacing w:before="156" w:beforeLines="50" w:line="360" w:lineRule="auto"/>
              <w:jc w:val="center"/>
              <w:rPr>
                <w:rFonts w:ascii="宋体" w:hAnsi="宋体" w:cs="宋体"/>
                <w:b/>
                <w:kern w:val="0"/>
                <w:sz w:val="24"/>
              </w:rPr>
            </w:pPr>
            <w:r>
              <w:rPr>
                <w:rFonts w:hint="eastAsia" w:ascii="宋体" w:hAnsi="宋体" w:cs="宋体"/>
                <w:b/>
                <w:kern w:val="0"/>
                <w:sz w:val="24"/>
              </w:rPr>
              <w:t>≥</w:t>
            </w:r>
            <w:r>
              <w:rPr>
                <w:rFonts w:hint="eastAsia" w:ascii="宋体" w:hAnsi="宋体" w:cs="宋体"/>
                <w:kern w:val="0"/>
                <w:sz w:val="24"/>
              </w:rPr>
              <w:t>1</w:t>
            </w:r>
          </w:p>
        </w:tc>
        <w:tc>
          <w:tcPr>
            <w:tcW w:w="1570" w:type="dxa"/>
          </w:tcPr>
          <w:p w14:paraId="4C3E9CFB">
            <w:pPr>
              <w:widowControl/>
              <w:snapToGrid w:val="0"/>
              <w:spacing w:before="156" w:beforeLines="50" w:line="360" w:lineRule="auto"/>
              <w:jc w:val="center"/>
              <w:rPr>
                <w:rFonts w:ascii="宋体" w:hAnsi="宋体" w:cs="宋体"/>
                <w:kern w:val="0"/>
                <w:sz w:val="24"/>
              </w:rPr>
            </w:pPr>
            <w:r>
              <w:rPr>
                <w:rFonts w:hint="eastAsia" w:ascii="宋体" w:hAnsi="宋体" w:cs="宋体"/>
                <w:kern w:val="0"/>
                <w:sz w:val="24"/>
              </w:rPr>
              <w:t>套</w:t>
            </w:r>
          </w:p>
        </w:tc>
      </w:tr>
      <w:tr w14:paraId="2352C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1408" w:type="dxa"/>
          </w:tcPr>
          <w:p w14:paraId="73F9F381">
            <w:pPr>
              <w:pStyle w:val="7"/>
              <w:numPr>
                <w:ilvl w:val="0"/>
                <w:numId w:val="3"/>
              </w:numPr>
              <w:snapToGrid w:val="0"/>
              <w:spacing w:before="156" w:beforeLines="50" w:line="360" w:lineRule="auto"/>
              <w:ind w:firstLineChars="0"/>
              <w:rPr>
                <w:rFonts w:ascii="宋体" w:hAnsi="宋体" w:cs="宋体"/>
                <w:bCs/>
              </w:rPr>
            </w:pPr>
          </w:p>
        </w:tc>
        <w:tc>
          <w:tcPr>
            <w:tcW w:w="3803" w:type="dxa"/>
          </w:tcPr>
          <w:p w14:paraId="56FF9685">
            <w:pPr>
              <w:widowControl/>
              <w:snapToGrid w:val="0"/>
              <w:spacing w:before="156" w:beforeLines="50" w:line="360" w:lineRule="auto"/>
              <w:rPr>
                <w:rFonts w:ascii="宋体" w:hAnsi="宋体"/>
                <w:sz w:val="24"/>
              </w:rPr>
            </w:pPr>
            <w:r>
              <w:rPr>
                <w:rFonts w:hint="eastAsia" w:ascii="宋体" w:hAnsi="宋体"/>
                <w:sz w:val="24"/>
              </w:rPr>
              <w:t>清洗喷头</w:t>
            </w:r>
          </w:p>
        </w:tc>
        <w:tc>
          <w:tcPr>
            <w:tcW w:w="2416" w:type="dxa"/>
          </w:tcPr>
          <w:p w14:paraId="263E537F">
            <w:pPr>
              <w:widowControl/>
              <w:snapToGrid w:val="0"/>
              <w:spacing w:before="156" w:beforeLines="50" w:line="360" w:lineRule="auto"/>
              <w:jc w:val="center"/>
              <w:rPr>
                <w:rFonts w:ascii="宋体" w:hAnsi="宋体" w:cs="宋体"/>
                <w:b/>
                <w:kern w:val="0"/>
                <w:sz w:val="24"/>
              </w:rPr>
            </w:pPr>
            <w:r>
              <w:rPr>
                <w:rFonts w:hint="eastAsia" w:ascii="宋体" w:hAnsi="宋体" w:cs="宋体"/>
                <w:b/>
                <w:kern w:val="0"/>
                <w:sz w:val="24"/>
              </w:rPr>
              <w:t>≥</w:t>
            </w:r>
            <w:r>
              <w:rPr>
                <w:rFonts w:hint="eastAsia" w:ascii="宋体" w:hAnsi="宋体" w:cs="宋体"/>
                <w:kern w:val="0"/>
                <w:sz w:val="24"/>
              </w:rPr>
              <w:t>1</w:t>
            </w:r>
          </w:p>
        </w:tc>
        <w:tc>
          <w:tcPr>
            <w:tcW w:w="1570" w:type="dxa"/>
          </w:tcPr>
          <w:p w14:paraId="4015E72F">
            <w:pPr>
              <w:widowControl/>
              <w:snapToGrid w:val="0"/>
              <w:spacing w:before="156" w:beforeLines="50" w:line="360" w:lineRule="auto"/>
              <w:jc w:val="center"/>
              <w:rPr>
                <w:rFonts w:ascii="宋体" w:hAnsi="宋体" w:cs="宋体"/>
                <w:kern w:val="0"/>
                <w:sz w:val="24"/>
              </w:rPr>
            </w:pPr>
            <w:r>
              <w:rPr>
                <w:rFonts w:hint="eastAsia" w:ascii="宋体" w:hAnsi="宋体" w:cs="宋体"/>
                <w:kern w:val="0"/>
                <w:sz w:val="24"/>
              </w:rPr>
              <w:t>套</w:t>
            </w:r>
          </w:p>
        </w:tc>
      </w:tr>
      <w:tr w14:paraId="61988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1408" w:type="dxa"/>
          </w:tcPr>
          <w:p w14:paraId="3A3B9E79">
            <w:pPr>
              <w:widowControl/>
              <w:snapToGrid w:val="0"/>
              <w:spacing w:before="156" w:beforeLines="50" w:line="360" w:lineRule="auto"/>
              <w:jc w:val="center"/>
              <w:rPr>
                <w:rFonts w:ascii="宋体" w:hAnsi="宋体" w:cs="宋体"/>
                <w:b/>
                <w:sz w:val="24"/>
              </w:rPr>
            </w:pPr>
            <w:bookmarkStart w:id="4" w:name="_Hlk214355671"/>
            <w:r>
              <w:rPr>
                <w:rFonts w:hint="eastAsia" w:ascii="宋体" w:hAnsi="宋体" w:cs="宋体"/>
                <w:b/>
                <w:sz w:val="24"/>
              </w:rPr>
              <w:t>四</w:t>
            </w:r>
          </w:p>
        </w:tc>
        <w:tc>
          <w:tcPr>
            <w:tcW w:w="3803" w:type="dxa"/>
          </w:tcPr>
          <w:p w14:paraId="1C3B6D0A">
            <w:pPr>
              <w:widowControl/>
              <w:snapToGrid w:val="0"/>
              <w:spacing w:before="156" w:beforeLines="50" w:line="360" w:lineRule="auto"/>
              <w:rPr>
                <w:rFonts w:ascii="宋体" w:hAnsi="宋体" w:cs="宋体"/>
                <w:b/>
                <w:sz w:val="24"/>
              </w:rPr>
            </w:pPr>
            <w:r>
              <w:rPr>
                <w:rFonts w:hint="eastAsia" w:ascii="宋体" w:hAnsi="宋体" w:cs="宋体"/>
                <w:b/>
                <w:sz w:val="24"/>
              </w:rPr>
              <w:t>控制模块</w:t>
            </w:r>
          </w:p>
        </w:tc>
        <w:tc>
          <w:tcPr>
            <w:tcW w:w="2416" w:type="dxa"/>
          </w:tcPr>
          <w:p w14:paraId="2ED2CD62">
            <w:pPr>
              <w:widowControl/>
              <w:snapToGrid w:val="0"/>
              <w:spacing w:before="156" w:beforeLines="50" w:line="360" w:lineRule="auto"/>
              <w:jc w:val="center"/>
              <w:rPr>
                <w:rFonts w:ascii="宋体" w:hAnsi="宋体" w:cs="宋体"/>
                <w:b/>
                <w:sz w:val="24"/>
              </w:rPr>
            </w:pPr>
            <w:r>
              <w:rPr>
                <w:rFonts w:hint="eastAsia" w:ascii="宋体" w:hAnsi="宋体" w:cs="宋体"/>
                <w:b/>
                <w:sz w:val="24"/>
              </w:rPr>
              <w:t>1</w:t>
            </w:r>
          </w:p>
        </w:tc>
        <w:tc>
          <w:tcPr>
            <w:tcW w:w="1570" w:type="dxa"/>
          </w:tcPr>
          <w:p w14:paraId="681DFDA5">
            <w:pPr>
              <w:widowControl/>
              <w:snapToGrid w:val="0"/>
              <w:spacing w:before="156" w:beforeLines="50" w:line="360" w:lineRule="auto"/>
              <w:jc w:val="center"/>
              <w:rPr>
                <w:rFonts w:ascii="宋体" w:hAnsi="宋体" w:cs="宋体"/>
                <w:b/>
                <w:sz w:val="24"/>
              </w:rPr>
            </w:pPr>
            <w:r>
              <w:rPr>
                <w:rFonts w:hint="eastAsia" w:ascii="宋体" w:hAnsi="宋体" w:cs="宋体"/>
                <w:b/>
                <w:sz w:val="24"/>
              </w:rPr>
              <w:t>套</w:t>
            </w:r>
          </w:p>
        </w:tc>
      </w:tr>
      <w:bookmarkEnd w:id="4"/>
      <w:tr w14:paraId="44420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1408" w:type="dxa"/>
          </w:tcPr>
          <w:p w14:paraId="32E66B98">
            <w:pPr>
              <w:pStyle w:val="7"/>
              <w:numPr>
                <w:ilvl w:val="0"/>
                <w:numId w:val="4"/>
              </w:numPr>
              <w:snapToGrid w:val="0"/>
              <w:spacing w:before="156" w:beforeLines="50" w:line="360" w:lineRule="auto"/>
              <w:ind w:firstLineChars="0"/>
              <w:rPr>
                <w:rFonts w:ascii="宋体" w:hAnsi="宋体" w:cs="宋体"/>
                <w:bCs/>
              </w:rPr>
            </w:pPr>
          </w:p>
        </w:tc>
        <w:tc>
          <w:tcPr>
            <w:tcW w:w="3803" w:type="dxa"/>
          </w:tcPr>
          <w:p w14:paraId="4CBA82D4">
            <w:pPr>
              <w:widowControl/>
              <w:snapToGrid w:val="0"/>
              <w:spacing w:before="156" w:beforeLines="50" w:line="360" w:lineRule="auto"/>
              <w:rPr>
                <w:rFonts w:ascii="宋体" w:hAnsi="宋体" w:cs="宋体"/>
                <w:sz w:val="24"/>
              </w:rPr>
            </w:pPr>
            <w:r>
              <w:rPr>
                <w:rFonts w:ascii="宋体" w:hAnsi="宋体" w:cs="宋体"/>
                <w:sz w:val="24"/>
              </w:rPr>
              <w:t>PLC控制系统</w:t>
            </w:r>
          </w:p>
        </w:tc>
        <w:tc>
          <w:tcPr>
            <w:tcW w:w="2416" w:type="dxa"/>
          </w:tcPr>
          <w:p w14:paraId="2A39EC56">
            <w:pPr>
              <w:widowControl/>
              <w:snapToGrid w:val="0"/>
              <w:spacing w:before="156" w:beforeLines="50" w:line="360" w:lineRule="auto"/>
              <w:jc w:val="center"/>
              <w:rPr>
                <w:rFonts w:ascii="宋体" w:hAnsi="宋体" w:cs="宋体"/>
                <w:kern w:val="0"/>
                <w:sz w:val="24"/>
              </w:rPr>
            </w:pPr>
            <w:r>
              <w:rPr>
                <w:rFonts w:hint="eastAsia" w:ascii="宋体" w:hAnsi="宋体" w:cs="宋体"/>
                <w:b/>
                <w:kern w:val="0"/>
                <w:sz w:val="24"/>
              </w:rPr>
              <w:t>≥</w:t>
            </w:r>
            <w:r>
              <w:rPr>
                <w:rFonts w:hint="eastAsia" w:ascii="宋体" w:hAnsi="宋体" w:cs="宋体"/>
                <w:kern w:val="0"/>
                <w:sz w:val="24"/>
              </w:rPr>
              <w:t>1</w:t>
            </w:r>
          </w:p>
        </w:tc>
        <w:tc>
          <w:tcPr>
            <w:tcW w:w="1570" w:type="dxa"/>
          </w:tcPr>
          <w:p w14:paraId="0B2C799C">
            <w:pPr>
              <w:widowControl/>
              <w:snapToGrid w:val="0"/>
              <w:spacing w:before="156" w:beforeLines="50" w:line="360" w:lineRule="auto"/>
              <w:jc w:val="center"/>
              <w:rPr>
                <w:rFonts w:ascii="宋体" w:hAnsi="宋体" w:cs="宋体"/>
                <w:kern w:val="0"/>
                <w:sz w:val="24"/>
              </w:rPr>
            </w:pPr>
            <w:r>
              <w:rPr>
                <w:rFonts w:hint="eastAsia" w:ascii="宋体" w:hAnsi="宋体" w:cs="宋体"/>
                <w:kern w:val="0"/>
                <w:sz w:val="24"/>
              </w:rPr>
              <w:t>套</w:t>
            </w:r>
          </w:p>
        </w:tc>
      </w:tr>
      <w:tr w14:paraId="67062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1408" w:type="dxa"/>
          </w:tcPr>
          <w:p w14:paraId="34BC0499">
            <w:pPr>
              <w:pStyle w:val="7"/>
              <w:numPr>
                <w:ilvl w:val="0"/>
                <w:numId w:val="4"/>
              </w:numPr>
              <w:snapToGrid w:val="0"/>
              <w:spacing w:before="156" w:beforeLines="50" w:line="360" w:lineRule="auto"/>
              <w:ind w:firstLineChars="0"/>
              <w:rPr>
                <w:rFonts w:ascii="宋体" w:hAnsi="宋体" w:cs="宋体"/>
                <w:bCs/>
              </w:rPr>
            </w:pPr>
          </w:p>
        </w:tc>
        <w:tc>
          <w:tcPr>
            <w:tcW w:w="3803" w:type="dxa"/>
          </w:tcPr>
          <w:p w14:paraId="2C09326E">
            <w:pPr>
              <w:widowControl/>
              <w:snapToGrid w:val="0"/>
              <w:spacing w:before="156" w:beforeLines="50" w:line="360" w:lineRule="auto"/>
              <w:rPr>
                <w:rFonts w:ascii="宋体" w:hAnsi="宋体" w:cs="宋体"/>
                <w:sz w:val="24"/>
              </w:rPr>
            </w:pPr>
            <w:r>
              <w:rPr>
                <w:rFonts w:hint="eastAsia" w:ascii="宋体" w:hAnsi="宋体"/>
                <w:bCs/>
                <w:sz w:val="24"/>
              </w:rPr>
              <w:t>显示屏</w:t>
            </w:r>
          </w:p>
        </w:tc>
        <w:tc>
          <w:tcPr>
            <w:tcW w:w="2416" w:type="dxa"/>
          </w:tcPr>
          <w:p w14:paraId="77E07F6C">
            <w:pPr>
              <w:widowControl/>
              <w:snapToGrid w:val="0"/>
              <w:spacing w:before="156" w:beforeLines="50" w:line="360" w:lineRule="auto"/>
              <w:jc w:val="center"/>
              <w:rPr>
                <w:rFonts w:ascii="宋体" w:hAnsi="宋体" w:cs="宋体"/>
                <w:kern w:val="0"/>
                <w:sz w:val="24"/>
              </w:rPr>
            </w:pPr>
            <w:r>
              <w:rPr>
                <w:rFonts w:hint="eastAsia" w:ascii="宋体" w:hAnsi="宋体" w:cs="宋体"/>
                <w:b/>
                <w:kern w:val="0"/>
                <w:sz w:val="24"/>
              </w:rPr>
              <w:t>≥</w:t>
            </w:r>
            <w:r>
              <w:rPr>
                <w:rFonts w:hint="eastAsia" w:ascii="宋体" w:hAnsi="宋体" w:cs="宋体"/>
                <w:kern w:val="0"/>
                <w:sz w:val="24"/>
              </w:rPr>
              <w:t>2</w:t>
            </w:r>
          </w:p>
        </w:tc>
        <w:tc>
          <w:tcPr>
            <w:tcW w:w="1570" w:type="dxa"/>
          </w:tcPr>
          <w:p w14:paraId="7A854DCA">
            <w:pPr>
              <w:widowControl/>
              <w:snapToGrid w:val="0"/>
              <w:spacing w:before="156" w:beforeLines="50" w:line="360" w:lineRule="auto"/>
              <w:jc w:val="center"/>
              <w:rPr>
                <w:rFonts w:ascii="宋体" w:hAnsi="宋体" w:cs="宋体"/>
                <w:kern w:val="0"/>
                <w:sz w:val="24"/>
              </w:rPr>
            </w:pPr>
            <w:r>
              <w:rPr>
                <w:rFonts w:hint="eastAsia" w:ascii="宋体" w:hAnsi="宋体" w:cs="宋体"/>
                <w:kern w:val="0"/>
                <w:sz w:val="24"/>
              </w:rPr>
              <w:t>台</w:t>
            </w:r>
          </w:p>
        </w:tc>
      </w:tr>
      <w:tr w14:paraId="0A03A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1408" w:type="dxa"/>
          </w:tcPr>
          <w:p w14:paraId="72E43188">
            <w:pPr>
              <w:pStyle w:val="7"/>
              <w:numPr>
                <w:ilvl w:val="0"/>
                <w:numId w:val="4"/>
              </w:numPr>
              <w:snapToGrid w:val="0"/>
              <w:spacing w:before="156" w:beforeLines="50" w:line="360" w:lineRule="auto"/>
              <w:ind w:firstLineChars="0"/>
              <w:rPr>
                <w:rFonts w:ascii="宋体" w:hAnsi="宋体" w:cs="宋体"/>
                <w:bCs/>
              </w:rPr>
            </w:pPr>
          </w:p>
        </w:tc>
        <w:tc>
          <w:tcPr>
            <w:tcW w:w="3803" w:type="dxa"/>
          </w:tcPr>
          <w:p w14:paraId="374D34FA">
            <w:pPr>
              <w:widowControl/>
              <w:snapToGrid w:val="0"/>
              <w:spacing w:before="156" w:beforeLines="50" w:line="360" w:lineRule="auto"/>
              <w:rPr>
                <w:rFonts w:ascii="宋体" w:hAnsi="宋体" w:cs="宋体"/>
                <w:sz w:val="24"/>
              </w:rPr>
            </w:pPr>
            <w:r>
              <w:rPr>
                <w:rFonts w:hint="eastAsia" w:ascii="宋体" w:hAnsi="宋体"/>
                <w:bCs/>
                <w:sz w:val="24"/>
              </w:rPr>
              <w:t>工艺编辑软件</w:t>
            </w:r>
          </w:p>
        </w:tc>
        <w:tc>
          <w:tcPr>
            <w:tcW w:w="2416" w:type="dxa"/>
          </w:tcPr>
          <w:p w14:paraId="27F63D5A">
            <w:pPr>
              <w:widowControl/>
              <w:snapToGrid w:val="0"/>
              <w:spacing w:before="156" w:beforeLines="50" w:line="360" w:lineRule="auto"/>
              <w:jc w:val="center"/>
              <w:rPr>
                <w:rFonts w:ascii="宋体" w:hAnsi="宋体" w:cs="宋体"/>
                <w:kern w:val="0"/>
                <w:sz w:val="24"/>
              </w:rPr>
            </w:pPr>
            <w:r>
              <w:rPr>
                <w:rFonts w:hint="eastAsia" w:ascii="宋体" w:hAnsi="宋体" w:cs="宋体"/>
                <w:kern w:val="0"/>
                <w:sz w:val="24"/>
              </w:rPr>
              <w:t>1</w:t>
            </w:r>
          </w:p>
        </w:tc>
        <w:tc>
          <w:tcPr>
            <w:tcW w:w="1570" w:type="dxa"/>
          </w:tcPr>
          <w:p w14:paraId="2C9C7A11">
            <w:pPr>
              <w:widowControl/>
              <w:snapToGrid w:val="0"/>
              <w:spacing w:before="156" w:beforeLines="50" w:line="360" w:lineRule="auto"/>
              <w:jc w:val="center"/>
              <w:rPr>
                <w:rFonts w:ascii="宋体" w:hAnsi="宋体" w:cs="宋体"/>
                <w:kern w:val="0"/>
                <w:sz w:val="24"/>
              </w:rPr>
            </w:pPr>
            <w:r>
              <w:rPr>
                <w:rFonts w:hint="eastAsia" w:ascii="宋体" w:hAnsi="宋体" w:cs="宋体"/>
                <w:kern w:val="0"/>
                <w:sz w:val="24"/>
              </w:rPr>
              <w:t>套</w:t>
            </w:r>
          </w:p>
        </w:tc>
      </w:tr>
    </w:tbl>
    <w:p w14:paraId="48FFA26C">
      <w:pPr>
        <w:widowControl/>
        <w:snapToGrid w:val="0"/>
        <w:spacing w:before="468" w:beforeLines="150" w:line="360" w:lineRule="auto"/>
        <w:ind w:firstLine="420"/>
        <w:rPr>
          <w:rFonts w:ascii="宋体" w:hAnsi="宋体" w:cs="宋体"/>
          <w:b/>
          <w:sz w:val="24"/>
        </w:rPr>
      </w:pPr>
      <w:r>
        <w:rPr>
          <w:rFonts w:hint="eastAsia" w:ascii="宋体" w:hAnsi="宋体" w:cs="宋体"/>
          <w:b/>
          <w:sz w:val="24"/>
        </w:rPr>
        <w:t>技术要求及参数：</w:t>
      </w:r>
    </w:p>
    <w:p w14:paraId="1206E27A">
      <w:pPr>
        <w:widowControl/>
        <w:snapToGrid w:val="0"/>
        <w:spacing w:line="360" w:lineRule="auto"/>
        <w:ind w:firstLine="420"/>
        <w:rPr>
          <w:rFonts w:ascii="宋体" w:hAnsi="宋体" w:cs="宋体"/>
          <w:bCs/>
          <w:sz w:val="24"/>
        </w:rPr>
      </w:pPr>
      <w:r>
        <w:rPr>
          <w:rFonts w:hint="eastAsia" w:ascii="宋体" w:hAnsi="宋体" w:cs="宋体"/>
          <w:bCs/>
          <w:sz w:val="24"/>
        </w:rPr>
        <w:t>详细见：技术性能指标表。</w:t>
      </w:r>
    </w:p>
    <w:p w14:paraId="2D2B229C">
      <w:pPr>
        <w:widowControl/>
        <w:snapToGrid w:val="0"/>
        <w:spacing w:line="360" w:lineRule="auto"/>
        <w:ind w:firstLine="420"/>
        <w:rPr>
          <w:rFonts w:ascii="宋体" w:hAnsi="宋体" w:cs="宋体"/>
          <w:bCs/>
          <w:sz w:val="24"/>
        </w:rPr>
      </w:pPr>
      <w:r>
        <w:rPr>
          <w:rFonts w:hint="eastAsia" w:ascii="宋体" w:hAnsi="宋体" w:cs="宋体"/>
          <w:bCs/>
          <w:sz w:val="24"/>
        </w:rPr>
        <w:t>加“</w:t>
      </w:r>
      <w:r>
        <w:rPr>
          <w:rFonts w:hint="eastAsia" w:ascii="宋体" w:hAnsi="宋体" w:cs="宋体"/>
          <w:kern w:val="0"/>
          <w:sz w:val="24"/>
          <w:lang w:val="zh-CN"/>
        </w:rPr>
        <w:t>★</w:t>
      </w:r>
      <w:r>
        <w:rPr>
          <w:rFonts w:hint="eastAsia" w:ascii="宋体" w:hAnsi="宋体" w:cs="宋体"/>
          <w:bCs/>
          <w:sz w:val="24"/>
        </w:rPr>
        <w:t>”条款为必须满足的条款，不得偏离。</w:t>
      </w:r>
    </w:p>
    <w:p w14:paraId="6ADB8EAA">
      <w:pPr>
        <w:widowControl/>
        <w:snapToGrid w:val="0"/>
        <w:spacing w:before="156" w:beforeLines="50" w:after="156" w:afterLines="50" w:line="360" w:lineRule="auto"/>
        <w:rPr>
          <w:rFonts w:ascii="宋体" w:hAnsi="宋体" w:cs="宋体"/>
          <w:b/>
          <w:bCs/>
          <w:sz w:val="24"/>
        </w:rPr>
      </w:pPr>
      <w:r>
        <w:rPr>
          <w:rFonts w:hint="eastAsia" w:ascii="宋体" w:hAnsi="宋体" w:cs="宋体"/>
          <w:b/>
          <w:bCs/>
          <w:sz w:val="24"/>
        </w:rPr>
        <w:t>2、技术性能指标表</w:t>
      </w:r>
    </w:p>
    <w:tbl>
      <w:tblPr>
        <w:tblStyle w:val="5"/>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08"/>
        <w:gridCol w:w="1051"/>
        <w:gridCol w:w="948"/>
        <w:gridCol w:w="6377"/>
        <w:tblGridChange w:id="0">
          <w:tblGrid>
            <w:gridCol w:w="608"/>
            <w:gridCol w:w="1051"/>
            <w:gridCol w:w="948"/>
            <w:gridCol w:w="6377"/>
          </w:tblGrid>
        </w:tblGridChange>
      </w:tblGrid>
      <w:tr w14:paraId="4B37A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0" w:hRule="atLeast"/>
          <w:jc w:val="center"/>
        </w:trPr>
        <w:tc>
          <w:tcPr>
            <w:tcW w:w="608" w:type="dxa"/>
            <w:vAlign w:val="center"/>
          </w:tcPr>
          <w:p w14:paraId="03FD015A">
            <w:pPr>
              <w:widowControl/>
              <w:spacing w:line="360" w:lineRule="auto"/>
              <w:jc w:val="center"/>
              <w:rPr>
                <w:rFonts w:ascii="宋体" w:hAnsi="宋体" w:cs="宋体"/>
                <w:b/>
                <w:sz w:val="24"/>
              </w:rPr>
            </w:pPr>
            <w:r>
              <w:rPr>
                <w:rFonts w:hint="eastAsia" w:ascii="宋体" w:hAnsi="宋体" w:cs="宋体"/>
                <w:b/>
                <w:sz w:val="24"/>
              </w:rPr>
              <w:t>编号</w:t>
            </w:r>
          </w:p>
        </w:tc>
        <w:tc>
          <w:tcPr>
            <w:tcW w:w="1051" w:type="dxa"/>
            <w:vAlign w:val="center"/>
          </w:tcPr>
          <w:p w14:paraId="1C299B43">
            <w:pPr>
              <w:widowControl/>
              <w:spacing w:line="360" w:lineRule="auto"/>
              <w:jc w:val="center"/>
              <w:rPr>
                <w:rFonts w:ascii="宋体" w:hAnsi="宋体" w:cs="宋体"/>
                <w:b/>
                <w:sz w:val="24"/>
              </w:rPr>
            </w:pPr>
            <w:r>
              <w:rPr>
                <w:rFonts w:hint="eastAsia" w:ascii="宋体" w:hAnsi="宋体" w:cs="宋体"/>
                <w:b/>
                <w:sz w:val="24"/>
              </w:rPr>
              <w:t>招标技术指标名称</w:t>
            </w:r>
          </w:p>
        </w:tc>
        <w:tc>
          <w:tcPr>
            <w:tcW w:w="7325" w:type="dxa"/>
            <w:gridSpan w:val="2"/>
            <w:vAlign w:val="center"/>
          </w:tcPr>
          <w:p w14:paraId="03360A59">
            <w:pPr>
              <w:widowControl/>
              <w:spacing w:line="360" w:lineRule="auto"/>
              <w:jc w:val="center"/>
              <w:rPr>
                <w:rFonts w:ascii="宋体" w:hAnsi="宋体" w:cs="宋体"/>
                <w:b/>
                <w:sz w:val="24"/>
              </w:rPr>
            </w:pPr>
            <w:r>
              <w:rPr>
                <w:rFonts w:hint="eastAsia" w:ascii="宋体" w:hAnsi="宋体" w:cs="宋体"/>
                <w:b/>
                <w:sz w:val="24"/>
              </w:rPr>
              <w:t>招标技术指标值</w:t>
            </w:r>
          </w:p>
        </w:tc>
      </w:tr>
      <w:tr w14:paraId="381FA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608" w:type="dxa"/>
            <w:vAlign w:val="center"/>
          </w:tcPr>
          <w:p w14:paraId="30964395">
            <w:pPr>
              <w:widowControl/>
              <w:spacing w:line="360" w:lineRule="auto"/>
              <w:jc w:val="center"/>
              <w:rPr>
                <w:rFonts w:ascii="宋体" w:hAnsi="宋体" w:cs="宋体"/>
                <w:sz w:val="24"/>
              </w:rPr>
            </w:pPr>
            <w:r>
              <w:rPr>
                <w:rFonts w:hint="eastAsia" w:ascii="宋体" w:hAnsi="宋体" w:cs="宋体"/>
                <w:lang w:val="zh-CN"/>
              </w:rPr>
              <w:t>★</w:t>
            </w:r>
            <w:r>
              <w:rPr>
                <w:rFonts w:hint="eastAsia" w:ascii="宋体" w:hAnsi="宋体" w:cs="宋体"/>
                <w:sz w:val="24"/>
              </w:rPr>
              <w:t>1</w:t>
            </w:r>
          </w:p>
        </w:tc>
        <w:tc>
          <w:tcPr>
            <w:tcW w:w="1051" w:type="dxa"/>
            <w:vAlign w:val="center"/>
          </w:tcPr>
          <w:p w14:paraId="0FAB83FF">
            <w:pPr>
              <w:widowControl/>
              <w:spacing w:line="360" w:lineRule="auto"/>
              <w:rPr>
                <w:rFonts w:ascii="宋体" w:hAnsi="宋体" w:cs="宋体"/>
                <w:sz w:val="24"/>
              </w:rPr>
            </w:pPr>
            <w:r>
              <w:rPr>
                <w:rFonts w:hint="eastAsia" w:ascii="宋体" w:hAnsi="宋体" w:cs="宋体"/>
                <w:sz w:val="24"/>
              </w:rPr>
              <w:t>应用范围和要求</w:t>
            </w:r>
          </w:p>
        </w:tc>
        <w:tc>
          <w:tcPr>
            <w:tcW w:w="7325" w:type="dxa"/>
            <w:gridSpan w:val="2"/>
            <w:vAlign w:val="center"/>
          </w:tcPr>
          <w:p w14:paraId="41F39172">
            <w:pPr>
              <w:spacing w:line="360" w:lineRule="auto"/>
              <w:ind w:left="105" w:leftChars="50"/>
              <w:rPr>
                <w:rFonts w:ascii="宋体" w:hAnsi="宋体" w:cs="宋体"/>
                <w:sz w:val="24"/>
              </w:rPr>
            </w:pPr>
            <w:r>
              <w:rPr>
                <w:rFonts w:hint="eastAsia" w:ascii="宋体" w:hAnsi="宋体" w:cs="宋体"/>
                <w:sz w:val="24"/>
              </w:rPr>
              <w:t>模板表面平坦化处理设备设备配备气压控制模块、抛光模块、供液/排液模块、电控模块。设备可进行6英寸/3英寸石英掩模版表面平坦化，制备平面型掩模，可实现分区压力控制，均匀去除掩模表面介质层，不损伤掩模。</w:t>
            </w:r>
          </w:p>
        </w:tc>
      </w:tr>
      <w:tr w14:paraId="0466C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608" w:type="dxa"/>
            <w:vMerge w:val="restart"/>
            <w:vAlign w:val="center"/>
          </w:tcPr>
          <w:p w14:paraId="31F081CF">
            <w:pPr>
              <w:widowControl/>
              <w:spacing w:line="360" w:lineRule="auto"/>
              <w:jc w:val="center"/>
              <w:rPr>
                <w:rFonts w:ascii="宋体" w:hAnsi="宋体" w:cs="宋体"/>
                <w:sz w:val="24"/>
              </w:rPr>
            </w:pPr>
            <w:r>
              <w:rPr>
                <w:rFonts w:hint="eastAsia" w:ascii="宋体" w:hAnsi="宋体" w:cs="宋体"/>
                <w:sz w:val="24"/>
              </w:rPr>
              <w:t>2</w:t>
            </w:r>
          </w:p>
        </w:tc>
        <w:tc>
          <w:tcPr>
            <w:tcW w:w="1051" w:type="dxa"/>
            <w:vMerge w:val="restart"/>
            <w:vAlign w:val="center"/>
          </w:tcPr>
          <w:p w14:paraId="72B0B55E">
            <w:pPr>
              <w:widowControl/>
              <w:spacing w:line="360" w:lineRule="auto"/>
              <w:rPr>
                <w:rFonts w:ascii="宋体" w:hAnsi="宋体" w:cs="宋体"/>
                <w:sz w:val="24"/>
              </w:rPr>
            </w:pPr>
            <w:r>
              <w:rPr>
                <w:rFonts w:hint="eastAsia" w:ascii="宋体" w:hAnsi="宋体" w:cs="宋体"/>
                <w:sz w:val="24"/>
              </w:rPr>
              <w:t>性能指标</w:t>
            </w:r>
          </w:p>
        </w:tc>
        <w:tc>
          <w:tcPr>
            <w:tcW w:w="7325" w:type="dxa"/>
            <w:gridSpan w:val="2"/>
            <w:vAlign w:val="center"/>
          </w:tcPr>
          <w:p w14:paraId="002AC8D2">
            <w:pPr>
              <w:spacing w:line="360" w:lineRule="auto"/>
              <w:rPr>
                <w:rFonts w:ascii="宋体" w:hAnsi="宋体" w:cs="宋体"/>
                <w:sz w:val="24"/>
              </w:rPr>
            </w:pPr>
            <w:r>
              <w:rPr>
                <w:rFonts w:hint="eastAsia" w:ascii="宋体" w:hAnsi="宋体" w:cs="宋体"/>
                <w:b/>
                <w:bCs/>
                <w:sz w:val="24"/>
              </w:rPr>
              <w:t>一、工艺指标：</w:t>
            </w:r>
          </w:p>
        </w:tc>
      </w:tr>
      <w:tr w14:paraId="0C495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608" w:type="dxa"/>
            <w:vMerge w:val="continue"/>
            <w:vAlign w:val="center"/>
          </w:tcPr>
          <w:p w14:paraId="7541B59E">
            <w:pPr>
              <w:widowControl/>
              <w:spacing w:line="360" w:lineRule="auto"/>
              <w:jc w:val="center"/>
              <w:rPr>
                <w:rFonts w:ascii="宋体" w:hAnsi="宋体" w:cs="宋体"/>
                <w:sz w:val="24"/>
              </w:rPr>
            </w:pPr>
          </w:p>
        </w:tc>
        <w:tc>
          <w:tcPr>
            <w:tcW w:w="1051" w:type="dxa"/>
            <w:vMerge w:val="continue"/>
            <w:vAlign w:val="center"/>
          </w:tcPr>
          <w:p w14:paraId="74E17148">
            <w:pPr>
              <w:widowControl/>
              <w:spacing w:line="360" w:lineRule="auto"/>
              <w:ind w:firstLine="120" w:firstLineChars="50"/>
              <w:rPr>
                <w:rFonts w:ascii="宋体" w:hAnsi="宋体" w:cs="宋体"/>
                <w:sz w:val="24"/>
              </w:rPr>
            </w:pPr>
          </w:p>
        </w:tc>
        <w:tc>
          <w:tcPr>
            <w:tcW w:w="948" w:type="dxa"/>
            <w:vAlign w:val="center"/>
          </w:tcPr>
          <w:p w14:paraId="07C3CD06">
            <w:pPr>
              <w:pStyle w:val="7"/>
              <w:numPr>
                <w:ilvl w:val="0"/>
                <w:numId w:val="5"/>
              </w:numPr>
              <w:spacing w:line="360" w:lineRule="auto"/>
              <w:ind w:firstLineChars="0"/>
              <w:jc w:val="center"/>
              <w:rPr>
                <w:rFonts w:ascii="宋体" w:hAnsi="宋体" w:cs="宋体"/>
              </w:rPr>
            </w:pPr>
            <w:r>
              <w:rPr>
                <w:rFonts w:hint="eastAsia" w:ascii="宋体" w:hAnsi="宋体" w:cs="宋体"/>
                <w:lang w:val="zh-CN"/>
              </w:rPr>
              <w:t>★</w:t>
            </w:r>
          </w:p>
        </w:tc>
        <w:tc>
          <w:tcPr>
            <w:tcW w:w="6377" w:type="dxa"/>
          </w:tcPr>
          <w:p w14:paraId="7D9D0803">
            <w:pPr>
              <w:spacing w:line="360" w:lineRule="auto"/>
              <w:rPr>
                <w:rFonts w:ascii="宋体" w:hAnsi="宋体"/>
                <w:sz w:val="24"/>
              </w:rPr>
            </w:pPr>
            <w:r>
              <w:rPr>
                <w:rFonts w:hint="eastAsia" w:ascii="宋体" w:hAnsi="宋体"/>
                <w:sz w:val="24"/>
              </w:rPr>
              <w:t>样品适用尺寸152mm×152mm×6.35mm，适配边长6英寸掩模版的抛光;</w:t>
            </w:r>
            <w:r>
              <w:rPr>
                <w:rFonts w:hint="eastAsia"/>
              </w:rPr>
              <w:t xml:space="preserve"> </w:t>
            </w:r>
            <w:r>
              <w:rPr>
                <w:rFonts w:hint="eastAsia" w:ascii="宋体" w:hAnsi="宋体"/>
                <w:sz w:val="24"/>
              </w:rPr>
              <w:t>可抛光材料包含二氧化硅，氧化铝，氮化硅，碳化硅等；</w:t>
            </w:r>
          </w:p>
        </w:tc>
      </w:tr>
      <w:tr w14:paraId="37A77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Change w:id="1" w:author="东方招标" w:date="2026-05-11T18:41: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blPrExChange>
        </w:tblPrEx>
        <w:trPr>
          <w:trHeight w:val="806" w:hRule="atLeast"/>
          <w:jc w:val="center"/>
          <w:trPrChange w:id="1" w:author="东方招标" w:date="2026-05-11T18:41:00Z">
            <w:trPr>
              <w:trHeight w:val="367" w:hRule="atLeast"/>
              <w:jc w:val="center"/>
            </w:trPr>
          </w:trPrChange>
        </w:trPr>
        <w:tc>
          <w:tcPr>
            <w:tcW w:w="608" w:type="dxa"/>
            <w:vMerge w:val="continue"/>
            <w:vAlign w:val="center"/>
            <w:tcPrChange w:id="2" w:author="东方招标" w:date="2026-05-11T18:41:00Z">
              <w:tcPr>
                <w:tcW w:w="608" w:type="dxa"/>
                <w:vMerge w:val="continue"/>
                <w:vAlign w:val="center"/>
              </w:tcPr>
            </w:tcPrChange>
          </w:tcPr>
          <w:p w14:paraId="75377E4E">
            <w:pPr>
              <w:widowControl/>
              <w:spacing w:line="360" w:lineRule="auto"/>
              <w:jc w:val="center"/>
              <w:rPr>
                <w:rFonts w:ascii="宋体" w:hAnsi="宋体" w:cs="宋体"/>
                <w:sz w:val="24"/>
              </w:rPr>
            </w:pPr>
          </w:p>
        </w:tc>
        <w:tc>
          <w:tcPr>
            <w:tcW w:w="1051" w:type="dxa"/>
            <w:vMerge w:val="continue"/>
            <w:vAlign w:val="center"/>
            <w:tcPrChange w:id="3" w:author="东方招标" w:date="2026-05-11T18:41:00Z">
              <w:tcPr>
                <w:tcW w:w="1051" w:type="dxa"/>
                <w:vMerge w:val="continue"/>
                <w:vAlign w:val="center"/>
              </w:tcPr>
            </w:tcPrChange>
          </w:tcPr>
          <w:p w14:paraId="6CF55C16">
            <w:pPr>
              <w:widowControl/>
              <w:spacing w:line="360" w:lineRule="auto"/>
              <w:ind w:firstLine="120" w:firstLineChars="50"/>
              <w:rPr>
                <w:rFonts w:ascii="宋体" w:hAnsi="宋体" w:cs="宋体"/>
                <w:sz w:val="24"/>
              </w:rPr>
            </w:pPr>
          </w:p>
        </w:tc>
        <w:tc>
          <w:tcPr>
            <w:tcW w:w="948" w:type="dxa"/>
            <w:vAlign w:val="center"/>
            <w:tcPrChange w:id="4" w:author="东方招标" w:date="2026-05-11T18:41:00Z">
              <w:tcPr>
                <w:tcW w:w="948" w:type="dxa"/>
                <w:vAlign w:val="center"/>
              </w:tcPr>
            </w:tcPrChange>
          </w:tcPr>
          <w:p w14:paraId="1BDAAB9C">
            <w:pPr>
              <w:pStyle w:val="7"/>
              <w:numPr>
                <w:ilvl w:val="0"/>
                <w:numId w:val="5"/>
              </w:numPr>
              <w:spacing w:line="360" w:lineRule="auto"/>
              <w:ind w:firstLineChars="0"/>
              <w:jc w:val="center"/>
              <w:rPr>
                <w:rFonts w:ascii="宋体" w:hAnsi="宋体" w:cs="宋体"/>
              </w:rPr>
            </w:pPr>
            <w:r>
              <w:rPr>
                <w:rFonts w:hint="eastAsia" w:ascii="宋体" w:hAnsi="宋体" w:cs="宋体"/>
              </w:rPr>
              <w:t>▲</w:t>
            </w:r>
          </w:p>
        </w:tc>
        <w:tc>
          <w:tcPr>
            <w:tcW w:w="6377" w:type="dxa"/>
            <w:tcPrChange w:id="5" w:author="东方招标" w:date="2026-05-11T18:41:00Z">
              <w:tcPr>
                <w:tcW w:w="6377" w:type="dxa"/>
              </w:tcPr>
            </w:tcPrChange>
          </w:tcPr>
          <w:p w14:paraId="2EF63DA4">
            <w:pPr>
              <w:spacing w:line="360" w:lineRule="auto"/>
              <w:rPr>
                <w:rFonts w:ascii="宋体" w:hAnsi="宋体" w:cs="宋体"/>
                <w:sz w:val="24"/>
              </w:rPr>
            </w:pPr>
            <w:r>
              <w:rPr>
                <w:rFonts w:hint="eastAsia" w:ascii="宋体" w:hAnsi="宋体"/>
                <w:sz w:val="24"/>
              </w:rPr>
              <w:t>可实现对6英寸方形掩模版中心区域至少直径5英寸范围内抛光速率、均匀性、表面平整度进行精确控制；</w:t>
            </w:r>
          </w:p>
        </w:tc>
      </w:tr>
      <w:tr w14:paraId="7583F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7" w:hRule="atLeast"/>
          <w:jc w:val="center"/>
        </w:trPr>
        <w:tc>
          <w:tcPr>
            <w:tcW w:w="608" w:type="dxa"/>
            <w:vMerge w:val="continue"/>
            <w:vAlign w:val="center"/>
          </w:tcPr>
          <w:p w14:paraId="2EC1AC67">
            <w:pPr>
              <w:widowControl/>
              <w:spacing w:line="360" w:lineRule="auto"/>
              <w:jc w:val="center"/>
              <w:rPr>
                <w:rFonts w:ascii="宋体" w:hAnsi="宋体" w:cs="宋体"/>
                <w:sz w:val="24"/>
              </w:rPr>
            </w:pPr>
          </w:p>
        </w:tc>
        <w:tc>
          <w:tcPr>
            <w:tcW w:w="1051" w:type="dxa"/>
            <w:vMerge w:val="continue"/>
            <w:vAlign w:val="center"/>
          </w:tcPr>
          <w:p w14:paraId="56FFC7BB">
            <w:pPr>
              <w:widowControl/>
              <w:spacing w:line="360" w:lineRule="auto"/>
              <w:ind w:firstLine="120" w:firstLineChars="50"/>
              <w:rPr>
                <w:rFonts w:ascii="宋体" w:hAnsi="宋体" w:cs="宋体"/>
                <w:sz w:val="24"/>
              </w:rPr>
            </w:pPr>
          </w:p>
        </w:tc>
        <w:tc>
          <w:tcPr>
            <w:tcW w:w="948" w:type="dxa"/>
            <w:vAlign w:val="center"/>
          </w:tcPr>
          <w:p w14:paraId="2D9E2262">
            <w:pPr>
              <w:pStyle w:val="7"/>
              <w:numPr>
                <w:ilvl w:val="0"/>
                <w:numId w:val="5"/>
              </w:numPr>
              <w:spacing w:line="360" w:lineRule="auto"/>
              <w:ind w:firstLineChars="0"/>
              <w:jc w:val="center"/>
              <w:rPr>
                <w:rFonts w:ascii="宋体" w:hAnsi="宋体" w:cs="宋体"/>
              </w:rPr>
            </w:pPr>
          </w:p>
        </w:tc>
        <w:tc>
          <w:tcPr>
            <w:tcW w:w="6377" w:type="dxa"/>
          </w:tcPr>
          <w:p w14:paraId="2699CE17">
            <w:pPr>
              <w:spacing w:line="360" w:lineRule="auto"/>
              <w:rPr>
                <w:rFonts w:ascii="宋体" w:hAnsi="宋体"/>
                <w:sz w:val="24"/>
              </w:rPr>
            </w:pPr>
            <w:r>
              <w:rPr>
                <w:rFonts w:hint="eastAsia" w:ascii="宋体" w:hAnsi="宋体"/>
                <w:sz w:val="24"/>
              </w:rPr>
              <w:t>工艺稳定、可重复，可连续抛光3片(每片抛光5min)性能稳定，均达到1</w:t>
            </w:r>
            <w:r>
              <w:rPr>
                <w:rFonts w:ascii="宋体" w:hAnsi="宋体"/>
                <w:sz w:val="24"/>
              </w:rPr>
              <w:t>.4</w:t>
            </w:r>
            <w:r>
              <w:rPr>
                <w:rFonts w:hint="eastAsia" w:ascii="宋体" w:hAnsi="宋体"/>
                <w:sz w:val="24"/>
              </w:rPr>
              <w:t>所描述的性能参数；</w:t>
            </w:r>
          </w:p>
        </w:tc>
      </w:tr>
      <w:tr w14:paraId="29412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9" w:hRule="atLeast"/>
          <w:jc w:val="center"/>
        </w:trPr>
        <w:tc>
          <w:tcPr>
            <w:tcW w:w="608" w:type="dxa"/>
            <w:vMerge w:val="continue"/>
            <w:vAlign w:val="center"/>
          </w:tcPr>
          <w:p w14:paraId="637DAAC1">
            <w:pPr>
              <w:widowControl/>
              <w:spacing w:line="360" w:lineRule="auto"/>
              <w:jc w:val="center"/>
              <w:rPr>
                <w:rFonts w:ascii="宋体" w:hAnsi="宋体" w:cs="宋体"/>
                <w:sz w:val="24"/>
              </w:rPr>
            </w:pPr>
          </w:p>
        </w:tc>
        <w:tc>
          <w:tcPr>
            <w:tcW w:w="1051" w:type="dxa"/>
            <w:vMerge w:val="continue"/>
            <w:vAlign w:val="center"/>
          </w:tcPr>
          <w:p w14:paraId="670CAB04">
            <w:pPr>
              <w:widowControl/>
              <w:spacing w:line="360" w:lineRule="auto"/>
              <w:ind w:firstLine="120" w:firstLineChars="50"/>
              <w:rPr>
                <w:rFonts w:ascii="宋体" w:hAnsi="宋体" w:cs="宋体"/>
                <w:sz w:val="24"/>
              </w:rPr>
            </w:pPr>
          </w:p>
        </w:tc>
        <w:tc>
          <w:tcPr>
            <w:tcW w:w="948" w:type="dxa"/>
            <w:vAlign w:val="center"/>
          </w:tcPr>
          <w:p w14:paraId="6C09B0C9">
            <w:pPr>
              <w:pStyle w:val="7"/>
              <w:numPr>
                <w:ilvl w:val="0"/>
                <w:numId w:val="5"/>
              </w:numPr>
              <w:spacing w:line="360" w:lineRule="auto"/>
              <w:ind w:firstLineChars="0"/>
              <w:jc w:val="center"/>
              <w:rPr>
                <w:rFonts w:ascii="宋体" w:hAnsi="宋体" w:cs="宋体"/>
              </w:rPr>
            </w:pPr>
            <w:r>
              <w:rPr>
                <w:rFonts w:hint="eastAsia" w:ascii="宋体" w:hAnsi="宋体" w:cs="宋体"/>
              </w:rPr>
              <w:t xml:space="preserve"> </w:t>
            </w:r>
            <w:r>
              <w:rPr>
                <w:rFonts w:hint="eastAsia" w:ascii="宋体" w:hAnsi="宋体" w:cs="宋体"/>
                <w:lang w:val="zh-CN"/>
              </w:rPr>
              <w:t>★</w:t>
            </w:r>
          </w:p>
        </w:tc>
        <w:tc>
          <w:tcPr>
            <w:tcW w:w="6377" w:type="dxa"/>
          </w:tcPr>
          <w:p w14:paraId="4AD00448">
            <w:pPr>
              <w:spacing w:line="360" w:lineRule="auto"/>
              <w:rPr>
                <w:rFonts w:ascii="宋体" w:hAnsi="宋体" w:cs="宋体"/>
                <w:sz w:val="24"/>
              </w:rPr>
            </w:pPr>
            <w:r>
              <w:rPr>
                <w:rFonts w:hint="eastAsia" w:ascii="宋体" w:hAnsi="宋体"/>
                <w:bCs/>
                <w:sz w:val="24"/>
              </w:rPr>
              <w:t>平坦化后，掩模表面介质膜层(二氧化硅膜层)厚度非均匀性小于3nm(中心40m×40mm区域内采集9X9点阵)；标准场内介质材料残余厚度7×7共计49点均值小于5nm，标准偏差小于0.5nm；</w:t>
            </w:r>
          </w:p>
        </w:tc>
      </w:tr>
      <w:tr w14:paraId="71B08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9" w:hRule="atLeast"/>
          <w:jc w:val="center"/>
        </w:trPr>
        <w:tc>
          <w:tcPr>
            <w:tcW w:w="608" w:type="dxa"/>
            <w:vMerge w:val="continue"/>
            <w:vAlign w:val="center"/>
          </w:tcPr>
          <w:p w14:paraId="42CF1176">
            <w:pPr>
              <w:widowControl/>
              <w:spacing w:line="360" w:lineRule="auto"/>
              <w:jc w:val="center"/>
              <w:rPr>
                <w:rFonts w:ascii="宋体" w:hAnsi="宋体" w:cs="宋体"/>
                <w:sz w:val="24"/>
              </w:rPr>
            </w:pPr>
          </w:p>
        </w:tc>
        <w:tc>
          <w:tcPr>
            <w:tcW w:w="1051" w:type="dxa"/>
            <w:vMerge w:val="continue"/>
            <w:vAlign w:val="center"/>
          </w:tcPr>
          <w:p w14:paraId="1CDDBC01">
            <w:pPr>
              <w:widowControl/>
              <w:spacing w:line="360" w:lineRule="auto"/>
              <w:ind w:firstLine="120" w:firstLineChars="50"/>
              <w:rPr>
                <w:rFonts w:ascii="宋体" w:hAnsi="宋体" w:cs="宋体"/>
                <w:sz w:val="24"/>
              </w:rPr>
            </w:pPr>
          </w:p>
        </w:tc>
        <w:tc>
          <w:tcPr>
            <w:tcW w:w="948" w:type="dxa"/>
            <w:vAlign w:val="center"/>
          </w:tcPr>
          <w:p w14:paraId="01822791">
            <w:pPr>
              <w:pStyle w:val="7"/>
              <w:numPr>
                <w:ilvl w:val="0"/>
                <w:numId w:val="5"/>
              </w:numPr>
              <w:spacing w:line="360" w:lineRule="auto"/>
              <w:ind w:firstLineChars="0"/>
              <w:jc w:val="center"/>
              <w:rPr>
                <w:rFonts w:ascii="宋体" w:hAnsi="宋体" w:cs="宋体"/>
              </w:rPr>
            </w:pPr>
            <w:r>
              <w:rPr>
                <w:rFonts w:hint="eastAsia" w:ascii="宋体" w:hAnsi="宋体" w:cs="宋体"/>
                <w:lang w:val="zh-CN"/>
              </w:rPr>
              <w:t>★</w:t>
            </w:r>
          </w:p>
        </w:tc>
        <w:tc>
          <w:tcPr>
            <w:tcW w:w="6377" w:type="dxa"/>
          </w:tcPr>
          <w:p w14:paraId="793497CD">
            <w:pPr>
              <w:spacing w:line="360" w:lineRule="auto"/>
              <w:rPr>
                <w:rFonts w:ascii="宋体" w:hAnsi="宋体"/>
                <w:bCs/>
                <w:sz w:val="24"/>
              </w:rPr>
            </w:pPr>
            <w:r>
              <w:rPr>
                <w:rFonts w:hint="eastAsia" w:ascii="宋体" w:hAnsi="宋体"/>
                <w:bCs/>
                <w:sz w:val="24"/>
              </w:rPr>
              <w:t>抛光后105nm周期光栅图形起伏&lt;3nm、图形区微纳图形（3微米周期光栅图形）起伏小于5nm、残留二氧化硅厚度&lt;5nm；抛光后非图形区粗糙度小于0.5nm（测试面积</w:t>
            </w:r>
            <w:r>
              <w:rPr>
                <w:rFonts w:ascii="宋体" w:hAnsi="宋体"/>
                <w:bCs/>
                <w:sz w:val="24"/>
              </w:rPr>
              <w:t>1</w:t>
            </w:r>
            <w:r>
              <w:rPr>
                <w:rFonts w:hint="eastAsia" w:ascii="宋体" w:hAnsi="宋体"/>
                <w:bCs/>
                <w:sz w:val="24"/>
              </w:rPr>
              <w:t>μm</w:t>
            </w:r>
            <w:r>
              <w:rPr>
                <w:rFonts w:ascii="宋体" w:hAnsi="宋体"/>
                <w:bCs/>
                <w:sz w:val="24"/>
              </w:rPr>
              <w:t xml:space="preserve"> </w:t>
            </w:r>
            <w:r>
              <w:rPr>
                <w:rFonts w:hint="eastAsia" w:ascii="宋体" w:hAnsi="宋体"/>
                <w:bCs/>
                <w:sz w:val="24"/>
              </w:rPr>
              <w:t>x</w:t>
            </w:r>
            <w:r>
              <w:rPr>
                <w:rFonts w:ascii="宋体" w:hAnsi="宋体"/>
                <w:bCs/>
                <w:sz w:val="24"/>
              </w:rPr>
              <w:t xml:space="preserve"> 1</w:t>
            </w:r>
            <w:r>
              <w:rPr>
                <w:rFonts w:hint="eastAsia" w:ascii="宋体" w:hAnsi="宋体"/>
                <w:bCs/>
                <w:sz w:val="24"/>
              </w:rPr>
              <w:t>μm）；</w:t>
            </w:r>
          </w:p>
        </w:tc>
      </w:tr>
      <w:tr w14:paraId="06065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3" w:hRule="atLeast"/>
          <w:jc w:val="center"/>
        </w:trPr>
        <w:tc>
          <w:tcPr>
            <w:tcW w:w="608" w:type="dxa"/>
            <w:vMerge w:val="continue"/>
            <w:vAlign w:val="center"/>
          </w:tcPr>
          <w:p w14:paraId="1B583101">
            <w:pPr>
              <w:widowControl/>
              <w:spacing w:line="360" w:lineRule="auto"/>
              <w:jc w:val="center"/>
              <w:rPr>
                <w:rFonts w:ascii="宋体" w:hAnsi="宋体" w:cs="宋体"/>
                <w:sz w:val="24"/>
              </w:rPr>
            </w:pPr>
          </w:p>
        </w:tc>
        <w:tc>
          <w:tcPr>
            <w:tcW w:w="1051" w:type="dxa"/>
            <w:vMerge w:val="continue"/>
            <w:vAlign w:val="center"/>
          </w:tcPr>
          <w:p w14:paraId="215CB9DF">
            <w:pPr>
              <w:widowControl/>
              <w:spacing w:line="360" w:lineRule="auto"/>
              <w:ind w:firstLine="120" w:firstLineChars="50"/>
              <w:rPr>
                <w:rFonts w:ascii="宋体" w:hAnsi="宋体" w:cs="宋体"/>
                <w:sz w:val="24"/>
              </w:rPr>
            </w:pPr>
          </w:p>
        </w:tc>
        <w:tc>
          <w:tcPr>
            <w:tcW w:w="7325" w:type="dxa"/>
            <w:gridSpan w:val="2"/>
            <w:vAlign w:val="center"/>
          </w:tcPr>
          <w:p w14:paraId="7D5376ED">
            <w:pPr>
              <w:spacing w:line="360" w:lineRule="auto"/>
              <w:rPr>
                <w:rFonts w:ascii="宋体" w:hAnsi="宋体" w:cs="宋体"/>
                <w:b/>
                <w:bCs/>
                <w:sz w:val="24"/>
              </w:rPr>
            </w:pPr>
            <w:r>
              <w:rPr>
                <w:rFonts w:hint="eastAsia" w:ascii="宋体" w:hAnsi="宋体"/>
                <w:b/>
                <w:bCs/>
                <w:sz w:val="24"/>
              </w:rPr>
              <w:t>二、</w:t>
            </w:r>
            <w:bookmarkStart w:id="5" w:name="OLE_LINK6"/>
            <w:r>
              <w:rPr>
                <w:rFonts w:hint="eastAsia" w:ascii="宋体" w:hAnsi="宋体"/>
                <w:b/>
                <w:bCs/>
                <w:sz w:val="24"/>
              </w:rPr>
              <w:t>气压控制模块</w:t>
            </w:r>
            <w:bookmarkEnd w:id="5"/>
          </w:p>
        </w:tc>
      </w:tr>
      <w:tr w14:paraId="08B49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3" w:hRule="atLeast"/>
          <w:jc w:val="center"/>
        </w:trPr>
        <w:tc>
          <w:tcPr>
            <w:tcW w:w="608" w:type="dxa"/>
            <w:vMerge w:val="continue"/>
            <w:vAlign w:val="center"/>
          </w:tcPr>
          <w:p w14:paraId="3C410961">
            <w:pPr>
              <w:widowControl/>
              <w:spacing w:line="360" w:lineRule="auto"/>
              <w:jc w:val="center"/>
              <w:rPr>
                <w:rFonts w:ascii="宋体" w:hAnsi="宋体" w:cs="宋体"/>
                <w:sz w:val="24"/>
              </w:rPr>
            </w:pPr>
          </w:p>
        </w:tc>
        <w:tc>
          <w:tcPr>
            <w:tcW w:w="1051" w:type="dxa"/>
            <w:vMerge w:val="continue"/>
            <w:vAlign w:val="center"/>
          </w:tcPr>
          <w:p w14:paraId="261194D3">
            <w:pPr>
              <w:widowControl/>
              <w:spacing w:line="360" w:lineRule="auto"/>
              <w:ind w:firstLine="120" w:firstLineChars="50"/>
              <w:rPr>
                <w:rFonts w:ascii="宋体" w:hAnsi="宋体" w:cs="宋体"/>
                <w:sz w:val="24"/>
              </w:rPr>
            </w:pPr>
          </w:p>
        </w:tc>
        <w:tc>
          <w:tcPr>
            <w:tcW w:w="948" w:type="dxa"/>
            <w:vAlign w:val="center"/>
          </w:tcPr>
          <w:p w14:paraId="0B871A2E">
            <w:pPr>
              <w:pStyle w:val="7"/>
              <w:numPr>
                <w:ilvl w:val="0"/>
                <w:numId w:val="6"/>
              </w:numPr>
              <w:spacing w:line="360" w:lineRule="auto"/>
              <w:ind w:firstLineChars="0"/>
              <w:jc w:val="center"/>
              <w:rPr>
                <w:rFonts w:ascii="宋体" w:hAnsi="宋体" w:cs="宋体"/>
              </w:rPr>
            </w:pPr>
            <w:r>
              <w:rPr>
                <w:rFonts w:hint="eastAsia" w:ascii="宋体" w:hAnsi="宋体" w:cs="宋体"/>
              </w:rPr>
              <w:t>★</w:t>
            </w:r>
          </w:p>
        </w:tc>
        <w:tc>
          <w:tcPr>
            <w:tcW w:w="6377" w:type="dxa"/>
          </w:tcPr>
          <w:p w14:paraId="5903FAAD">
            <w:pPr>
              <w:spacing w:line="360" w:lineRule="auto"/>
              <w:rPr>
                <w:rFonts w:ascii="宋体" w:hAnsi="宋体" w:cs="宋体"/>
                <w:sz w:val="24"/>
              </w:rPr>
            </w:pPr>
            <w:r>
              <w:rPr>
                <w:rFonts w:hint="eastAsia" w:ascii="宋体" w:hAnsi="宋体"/>
                <w:sz w:val="24"/>
              </w:rPr>
              <w:t>实现样品表面分区压力加载，抛光头模块不少于6分区压力独立控制；使用外接抛光头时，模板中心区域压力分区不少于80个，中心区域外压力分区不少于20个；</w:t>
            </w:r>
          </w:p>
        </w:tc>
      </w:tr>
      <w:tr w14:paraId="2AA7A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3" w:hRule="atLeast"/>
          <w:jc w:val="center"/>
        </w:trPr>
        <w:tc>
          <w:tcPr>
            <w:tcW w:w="608" w:type="dxa"/>
            <w:vMerge w:val="continue"/>
            <w:vAlign w:val="center"/>
          </w:tcPr>
          <w:p w14:paraId="14665D32">
            <w:pPr>
              <w:widowControl/>
              <w:spacing w:line="360" w:lineRule="auto"/>
              <w:jc w:val="center"/>
              <w:rPr>
                <w:rFonts w:ascii="宋体" w:hAnsi="宋体" w:cs="宋体"/>
                <w:sz w:val="24"/>
              </w:rPr>
            </w:pPr>
          </w:p>
        </w:tc>
        <w:tc>
          <w:tcPr>
            <w:tcW w:w="1051" w:type="dxa"/>
            <w:vMerge w:val="continue"/>
            <w:vAlign w:val="center"/>
          </w:tcPr>
          <w:p w14:paraId="36121491">
            <w:pPr>
              <w:widowControl/>
              <w:spacing w:line="360" w:lineRule="auto"/>
              <w:ind w:firstLine="120" w:firstLineChars="50"/>
              <w:rPr>
                <w:rFonts w:ascii="宋体" w:hAnsi="宋体" w:cs="宋体"/>
                <w:sz w:val="24"/>
              </w:rPr>
            </w:pPr>
          </w:p>
        </w:tc>
        <w:tc>
          <w:tcPr>
            <w:tcW w:w="948" w:type="dxa"/>
            <w:vAlign w:val="center"/>
          </w:tcPr>
          <w:p w14:paraId="6EABCA80">
            <w:pPr>
              <w:pStyle w:val="7"/>
              <w:numPr>
                <w:ilvl w:val="0"/>
                <w:numId w:val="6"/>
              </w:numPr>
              <w:spacing w:line="360" w:lineRule="auto"/>
              <w:ind w:firstLineChars="0"/>
              <w:jc w:val="center"/>
              <w:rPr>
                <w:rFonts w:ascii="宋体" w:hAnsi="宋体" w:cs="宋体"/>
              </w:rPr>
            </w:pPr>
          </w:p>
        </w:tc>
        <w:tc>
          <w:tcPr>
            <w:tcW w:w="6377" w:type="dxa"/>
          </w:tcPr>
          <w:p w14:paraId="4F8489CF">
            <w:pPr>
              <w:spacing w:line="360" w:lineRule="auto"/>
              <w:rPr>
                <w:rFonts w:ascii="宋体" w:hAnsi="宋体"/>
                <w:sz w:val="24"/>
              </w:rPr>
            </w:pPr>
            <w:r>
              <w:rPr>
                <w:rFonts w:hint="eastAsia" w:ascii="宋体" w:hAnsi="宋体"/>
                <w:sz w:val="24"/>
              </w:rPr>
              <w:t>各分区实现</w:t>
            </w:r>
            <w:r>
              <w:rPr>
                <w:rFonts w:ascii="Times New Roman" w:hAnsi="Times New Roman"/>
                <w:sz w:val="24"/>
              </w:rPr>
              <w:t>0~6psi</w:t>
            </w:r>
            <w:r>
              <w:rPr>
                <w:rFonts w:hint="eastAsia" w:ascii="宋体" w:hAnsi="宋体"/>
                <w:sz w:val="24"/>
              </w:rPr>
              <w:t>(5英寸)压力加载；</w:t>
            </w:r>
          </w:p>
        </w:tc>
      </w:tr>
      <w:tr w14:paraId="3E130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3" w:hRule="atLeast"/>
          <w:jc w:val="center"/>
        </w:trPr>
        <w:tc>
          <w:tcPr>
            <w:tcW w:w="608" w:type="dxa"/>
            <w:vMerge w:val="continue"/>
            <w:vAlign w:val="center"/>
          </w:tcPr>
          <w:p w14:paraId="7CBFE021">
            <w:pPr>
              <w:widowControl/>
              <w:spacing w:line="360" w:lineRule="auto"/>
              <w:jc w:val="center"/>
              <w:rPr>
                <w:rFonts w:ascii="宋体" w:hAnsi="宋体" w:cs="宋体"/>
                <w:sz w:val="24"/>
              </w:rPr>
            </w:pPr>
          </w:p>
        </w:tc>
        <w:tc>
          <w:tcPr>
            <w:tcW w:w="1051" w:type="dxa"/>
            <w:vMerge w:val="continue"/>
            <w:vAlign w:val="center"/>
          </w:tcPr>
          <w:p w14:paraId="6806465A">
            <w:pPr>
              <w:widowControl/>
              <w:spacing w:line="360" w:lineRule="auto"/>
              <w:ind w:firstLine="120" w:firstLineChars="50"/>
              <w:rPr>
                <w:rFonts w:ascii="宋体" w:hAnsi="宋体" w:cs="宋体"/>
                <w:sz w:val="24"/>
              </w:rPr>
            </w:pPr>
          </w:p>
        </w:tc>
        <w:tc>
          <w:tcPr>
            <w:tcW w:w="948" w:type="dxa"/>
            <w:vAlign w:val="center"/>
          </w:tcPr>
          <w:p w14:paraId="53C5C7FB">
            <w:pPr>
              <w:pStyle w:val="7"/>
              <w:numPr>
                <w:ilvl w:val="0"/>
                <w:numId w:val="6"/>
              </w:numPr>
              <w:spacing w:line="360" w:lineRule="auto"/>
              <w:ind w:firstLineChars="0"/>
              <w:jc w:val="center"/>
              <w:rPr>
                <w:rFonts w:ascii="宋体" w:hAnsi="宋体" w:cs="宋体"/>
              </w:rPr>
            </w:pPr>
          </w:p>
        </w:tc>
        <w:tc>
          <w:tcPr>
            <w:tcW w:w="6377" w:type="dxa"/>
          </w:tcPr>
          <w:p w14:paraId="6595C77E">
            <w:pPr>
              <w:spacing w:line="360" w:lineRule="auto"/>
              <w:rPr>
                <w:rFonts w:ascii="宋体" w:hAnsi="宋体"/>
                <w:sz w:val="24"/>
              </w:rPr>
            </w:pPr>
            <w:r>
              <w:rPr>
                <w:rFonts w:hint="eastAsia" w:ascii="宋体" w:hAnsi="宋体"/>
                <w:sz w:val="24"/>
              </w:rPr>
              <w:t>压力加载分辨率优于0.1psi；</w:t>
            </w:r>
          </w:p>
        </w:tc>
      </w:tr>
      <w:tr w14:paraId="6EBCF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3" w:hRule="atLeast"/>
          <w:jc w:val="center"/>
        </w:trPr>
        <w:tc>
          <w:tcPr>
            <w:tcW w:w="608" w:type="dxa"/>
            <w:vMerge w:val="continue"/>
            <w:vAlign w:val="center"/>
          </w:tcPr>
          <w:p w14:paraId="7B36839A">
            <w:pPr>
              <w:widowControl/>
              <w:spacing w:line="360" w:lineRule="auto"/>
              <w:jc w:val="center"/>
              <w:rPr>
                <w:rFonts w:ascii="宋体" w:hAnsi="宋体" w:cs="宋体"/>
                <w:sz w:val="24"/>
              </w:rPr>
            </w:pPr>
          </w:p>
        </w:tc>
        <w:tc>
          <w:tcPr>
            <w:tcW w:w="1051" w:type="dxa"/>
            <w:vMerge w:val="continue"/>
            <w:vAlign w:val="center"/>
          </w:tcPr>
          <w:p w14:paraId="75639484">
            <w:pPr>
              <w:widowControl/>
              <w:spacing w:line="360" w:lineRule="auto"/>
              <w:ind w:firstLine="120" w:firstLineChars="50"/>
              <w:rPr>
                <w:rFonts w:ascii="宋体" w:hAnsi="宋体" w:cs="宋体"/>
                <w:sz w:val="24"/>
              </w:rPr>
            </w:pPr>
          </w:p>
        </w:tc>
        <w:tc>
          <w:tcPr>
            <w:tcW w:w="7325" w:type="dxa"/>
            <w:gridSpan w:val="2"/>
            <w:vAlign w:val="center"/>
          </w:tcPr>
          <w:p w14:paraId="0845899D">
            <w:pPr>
              <w:spacing w:line="360" w:lineRule="auto"/>
              <w:rPr>
                <w:rFonts w:ascii="宋体" w:hAnsi="宋体"/>
                <w:b/>
                <w:bCs/>
                <w:sz w:val="24"/>
              </w:rPr>
            </w:pPr>
            <w:r>
              <w:rPr>
                <w:rFonts w:hint="eastAsia" w:ascii="宋体" w:hAnsi="宋体"/>
                <w:b/>
                <w:bCs/>
                <w:sz w:val="24"/>
              </w:rPr>
              <w:t>三、抛光模块</w:t>
            </w:r>
          </w:p>
        </w:tc>
      </w:tr>
      <w:tr w14:paraId="1CEAF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3" w:hRule="atLeast"/>
          <w:jc w:val="center"/>
        </w:trPr>
        <w:tc>
          <w:tcPr>
            <w:tcW w:w="608" w:type="dxa"/>
            <w:vMerge w:val="continue"/>
            <w:vAlign w:val="center"/>
          </w:tcPr>
          <w:p w14:paraId="6169EFDE">
            <w:pPr>
              <w:widowControl/>
              <w:spacing w:line="360" w:lineRule="auto"/>
              <w:jc w:val="center"/>
              <w:rPr>
                <w:rFonts w:ascii="宋体" w:hAnsi="宋体" w:cs="宋体"/>
                <w:sz w:val="24"/>
              </w:rPr>
            </w:pPr>
          </w:p>
        </w:tc>
        <w:tc>
          <w:tcPr>
            <w:tcW w:w="1051" w:type="dxa"/>
            <w:vMerge w:val="continue"/>
            <w:vAlign w:val="center"/>
          </w:tcPr>
          <w:p w14:paraId="3823FB61">
            <w:pPr>
              <w:widowControl/>
              <w:spacing w:line="360" w:lineRule="auto"/>
              <w:ind w:firstLine="120" w:firstLineChars="50"/>
              <w:rPr>
                <w:rFonts w:ascii="宋体" w:hAnsi="宋体" w:cs="宋体"/>
                <w:sz w:val="24"/>
              </w:rPr>
            </w:pPr>
          </w:p>
        </w:tc>
        <w:tc>
          <w:tcPr>
            <w:tcW w:w="948" w:type="dxa"/>
            <w:vAlign w:val="center"/>
          </w:tcPr>
          <w:p w14:paraId="576F8903">
            <w:pPr>
              <w:pStyle w:val="7"/>
              <w:numPr>
                <w:ilvl w:val="0"/>
                <w:numId w:val="7"/>
              </w:numPr>
              <w:spacing w:line="360" w:lineRule="auto"/>
              <w:ind w:left="0" w:firstLine="0" w:firstLineChars="0"/>
              <w:jc w:val="center"/>
              <w:rPr>
                <w:rFonts w:ascii="宋体" w:hAnsi="宋体" w:cs="宋体"/>
              </w:rPr>
            </w:pPr>
            <w:r>
              <w:rPr>
                <w:rFonts w:hint="eastAsia" w:ascii="宋体" w:hAnsi="宋体" w:cs="宋体"/>
              </w:rPr>
              <w:t>▲</w:t>
            </w:r>
          </w:p>
        </w:tc>
        <w:tc>
          <w:tcPr>
            <w:tcW w:w="6377" w:type="dxa"/>
          </w:tcPr>
          <w:p w14:paraId="6CE80A95">
            <w:pPr>
              <w:spacing w:line="360" w:lineRule="auto"/>
              <w:rPr>
                <w:rFonts w:ascii="宋体" w:hAnsi="宋体"/>
                <w:sz w:val="24"/>
              </w:rPr>
            </w:pPr>
            <w:r>
              <w:rPr>
                <w:rFonts w:hint="eastAsia" w:ascii="宋体" w:hAnsi="宋体"/>
                <w:sz w:val="24"/>
              </w:rPr>
              <w:t>抛光头转速</w:t>
            </w:r>
            <w:r>
              <w:rPr>
                <w:rFonts w:ascii="Times New Roman" w:hAnsi="Times New Roman"/>
                <w:sz w:val="24"/>
              </w:rPr>
              <w:t>0~150rpm</w:t>
            </w:r>
            <w:r>
              <w:rPr>
                <w:rFonts w:hint="eastAsia" w:ascii="宋体" w:hAnsi="宋体"/>
                <w:sz w:val="24"/>
              </w:rPr>
              <w:t>，其中转速0～100rpm区间，误差≤±1rpm，转速101～150rpm区间，误差≤±2rpm；</w:t>
            </w:r>
          </w:p>
        </w:tc>
      </w:tr>
      <w:tr w14:paraId="14524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3" w:hRule="atLeast"/>
          <w:jc w:val="center"/>
        </w:trPr>
        <w:tc>
          <w:tcPr>
            <w:tcW w:w="608" w:type="dxa"/>
            <w:vMerge w:val="continue"/>
            <w:vAlign w:val="center"/>
          </w:tcPr>
          <w:p w14:paraId="7CE4CD74">
            <w:pPr>
              <w:widowControl/>
              <w:spacing w:line="360" w:lineRule="auto"/>
              <w:jc w:val="center"/>
              <w:rPr>
                <w:rFonts w:ascii="宋体" w:hAnsi="宋体" w:cs="宋体"/>
                <w:sz w:val="24"/>
              </w:rPr>
            </w:pPr>
          </w:p>
        </w:tc>
        <w:tc>
          <w:tcPr>
            <w:tcW w:w="1051" w:type="dxa"/>
            <w:vMerge w:val="continue"/>
            <w:vAlign w:val="center"/>
          </w:tcPr>
          <w:p w14:paraId="70AAD160">
            <w:pPr>
              <w:widowControl/>
              <w:spacing w:line="360" w:lineRule="auto"/>
              <w:ind w:firstLine="120" w:firstLineChars="50"/>
              <w:rPr>
                <w:rFonts w:ascii="宋体" w:hAnsi="宋体" w:cs="宋体"/>
                <w:sz w:val="24"/>
              </w:rPr>
            </w:pPr>
          </w:p>
        </w:tc>
        <w:tc>
          <w:tcPr>
            <w:tcW w:w="948" w:type="dxa"/>
            <w:vAlign w:val="center"/>
          </w:tcPr>
          <w:p w14:paraId="642F41FD">
            <w:pPr>
              <w:pStyle w:val="7"/>
              <w:numPr>
                <w:ilvl w:val="0"/>
                <w:numId w:val="7"/>
              </w:numPr>
              <w:spacing w:line="360" w:lineRule="auto"/>
              <w:ind w:left="0" w:firstLine="0" w:firstLineChars="0"/>
              <w:jc w:val="center"/>
              <w:rPr>
                <w:rFonts w:ascii="宋体" w:hAnsi="宋体" w:cs="宋体"/>
              </w:rPr>
            </w:pPr>
          </w:p>
        </w:tc>
        <w:tc>
          <w:tcPr>
            <w:tcW w:w="6377" w:type="dxa"/>
          </w:tcPr>
          <w:p w14:paraId="04037954">
            <w:pPr>
              <w:spacing w:line="360" w:lineRule="auto"/>
              <w:rPr>
                <w:rFonts w:ascii="宋体" w:hAnsi="宋体"/>
                <w:sz w:val="24"/>
              </w:rPr>
            </w:pPr>
            <w:r>
              <w:rPr>
                <w:rFonts w:hint="eastAsia" w:ascii="宋体" w:hAnsi="宋体" w:cs="宋体"/>
                <w:sz w:val="24"/>
              </w:rPr>
              <w:t>内部气膜采用硅胶材质，可防酸碱腐蚀；</w:t>
            </w:r>
          </w:p>
        </w:tc>
      </w:tr>
      <w:tr w14:paraId="4519A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3" w:hRule="atLeast"/>
          <w:jc w:val="center"/>
        </w:trPr>
        <w:tc>
          <w:tcPr>
            <w:tcW w:w="608" w:type="dxa"/>
            <w:vMerge w:val="continue"/>
            <w:vAlign w:val="center"/>
          </w:tcPr>
          <w:p w14:paraId="3460EFC3">
            <w:pPr>
              <w:widowControl/>
              <w:spacing w:line="360" w:lineRule="auto"/>
              <w:jc w:val="center"/>
              <w:rPr>
                <w:rFonts w:ascii="宋体" w:hAnsi="宋体" w:cs="宋体"/>
                <w:sz w:val="24"/>
              </w:rPr>
            </w:pPr>
          </w:p>
        </w:tc>
        <w:tc>
          <w:tcPr>
            <w:tcW w:w="1051" w:type="dxa"/>
            <w:vMerge w:val="continue"/>
            <w:vAlign w:val="center"/>
          </w:tcPr>
          <w:p w14:paraId="05DAE1DD">
            <w:pPr>
              <w:widowControl/>
              <w:spacing w:line="360" w:lineRule="auto"/>
              <w:ind w:firstLine="120" w:firstLineChars="50"/>
              <w:rPr>
                <w:rFonts w:ascii="宋体" w:hAnsi="宋体" w:cs="宋体"/>
                <w:sz w:val="24"/>
              </w:rPr>
            </w:pPr>
          </w:p>
        </w:tc>
        <w:tc>
          <w:tcPr>
            <w:tcW w:w="948" w:type="dxa"/>
            <w:vAlign w:val="center"/>
          </w:tcPr>
          <w:p w14:paraId="39177C7B">
            <w:pPr>
              <w:pStyle w:val="7"/>
              <w:numPr>
                <w:ilvl w:val="0"/>
                <w:numId w:val="7"/>
              </w:numPr>
              <w:spacing w:line="360" w:lineRule="auto"/>
              <w:ind w:left="0" w:firstLine="0" w:firstLineChars="0"/>
              <w:jc w:val="center"/>
              <w:rPr>
                <w:rFonts w:ascii="宋体" w:hAnsi="宋体" w:cs="宋体"/>
              </w:rPr>
            </w:pPr>
          </w:p>
        </w:tc>
        <w:tc>
          <w:tcPr>
            <w:tcW w:w="6377" w:type="dxa"/>
          </w:tcPr>
          <w:p w14:paraId="550F4011">
            <w:pPr>
              <w:spacing w:line="360" w:lineRule="auto"/>
              <w:rPr>
                <w:rFonts w:ascii="宋体" w:hAnsi="宋体"/>
                <w:sz w:val="24"/>
              </w:rPr>
            </w:pPr>
            <w:bookmarkStart w:id="6" w:name="OLE_LINK8"/>
            <w:r>
              <w:rPr>
                <w:rFonts w:hint="eastAsia" w:ascii="宋体" w:hAnsi="宋体"/>
                <w:snapToGrid w:val="0"/>
                <w:sz w:val="24"/>
              </w:rPr>
              <w:t>内部气膜硬度至少包含25A到55A；</w:t>
            </w:r>
            <w:bookmarkEnd w:id="6"/>
          </w:p>
        </w:tc>
      </w:tr>
      <w:tr w14:paraId="5F7C3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3" w:hRule="atLeast"/>
          <w:jc w:val="center"/>
        </w:trPr>
        <w:tc>
          <w:tcPr>
            <w:tcW w:w="608" w:type="dxa"/>
            <w:vMerge w:val="continue"/>
            <w:vAlign w:val="center"/>
          </w:tcPr>
          <w:p w14:paraId="0527EBF0">
            <w:pPr>
              <w:widowControl/>
              <w:spacing w:line="360" w:lineRule="auto"/>
              <w:jc w:val="center"/>
              <w:rPr>
                <w:rFonts w:ascii="宋体" w:hAnsi="宋体" w:cs="宋体"/>
                <w:sz w:val="24"/>
              </w:rPr>
            </w:pPr>
          </w:p>
        </w:tc>
        <w:tc>
          <w:tcPr>
            <w:tcW w:w="1051" w:type="dxa"/>
            <w:vMerge w:val="continue"/>
            <w:vAlign w:val="center"/>
          </w:tcPr>
          <w:p w14:paraId="67930ADC">
            <w:pPr>
              <w:widowControl/>
              <w:spacing w:line="360" w:lineRule="auto"/>
              <w:ind w:firstLine="120" w:firstLineChars="50"/>
              <w:rPr>
                <w:rFonts w:ascii="宋体" w:hAnsi="宋体" w:cs="宋体"/>
                <w:sz w:val="24"/>
              </w:rPr>
            </w:pPr>
          </w:p>
        </w:tc>
        <w:tc>
          <w:tcPr>
            <w:tcW w:w="948" w:type="dxa"/>
            <w:vAlign w:val="center"/>
          </w:tcPr>
          <w:p w14:paraId="0F148E5D">
            <w:pPr>
              <w:pStyle w:val="7"/>
              <w:numPr>
                <w:ilvl w:val="0"/>
                <w:numId w:val="7"/>
              </w:numPr>
              <w:spacing w:line="360" w:lineRule="auto"/>
              <w:ind w:left="0" w:firstLine="0" w:firstLineChars="0"/>
              <w:jc w:val="center"/>
              <w:rPr>
                <w:rFonts w:ascii="宋体" w:hAnsi="宋体" w:cs="宋体"/>
              </w:rPr>
            </w:pPr>
            <w:r>
              <w:rPr>
                <w:rFonts w:hint="eastAsia" w:ascii="宋体" w:hAnsi="宋体" w:cs="宋体"/>
              </w:rPr>
              <w:t>▲</w:t>
            </w:r>
          </w:p>
        </w:tc>
        <w:tc>
          <w:tcPr>
            <w:tcW w:w="6377" w:type="dxa"/>
          </w:tcPr>
          <w:p w14:paraId="22A6439A">
            <w:pPr>
              <w:spacing w:line="360" w:lineRule="auto"/>
              <w:rPr>
                <w:rFonts w:ascii="宋体" w:hAnsi="宋体"/>
                <w:snapToGrid w:val="0"/>
                <w:sz w:val="24"/>
              </w:rPr>
            </w:pPr>
            <w:r>
              <w:rPr>
                <w:rFonts w:hint="eastAsia" w:ascii="宋体" w:hAnsi="宋体"/>
                <w:sz w:val="24"/>
              </w:rPr>
              <w:t>抛光头主轴承重≥20kg；</w:t>
            </w:r>
          </w:p>
        </w:tc>
      </w:tr>
      <w:tr w14:paraId="19968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3" w:hRule="atLeast"/>
          <w:jc w:val="center"/>
        </w:trPr>
        <w:tc>
          <w:tcPr>
            <w:tcW w:w="608" w:type="dxa"/>
            <w:vMerge w:val="continue"/>
            <w:vAlign w:val="center"/>
          </w:tcPr>
          <w:p w14:paraId="3C900E64">
            <w:pPr>
              <w:widowControl/>
              <w:spacing w:line="360" w:lineRule="auto"/>
              <w:jc w:val="center"/>
              <w:rPr>
                <w:rFonts w:ascii="宋体" w:hAnsi="宋体" w:cs="宋体"/>
                <w:sz w:val="24"/>
              </w:rPr>
            </w:pPr>
          </w:p>
        </w:tc>
        <w:tc>
          <w:tcPr>
            <w:tcW w:w="1051" w:type="dxa"/>
            <w:vMerge w:val="continue"/>
            <w:vAlign w:val="center"/>
          </w:tcPr>
          <w:p w14:paraId="7D84EDE3">
            <w:pPr>
              <w:widowControl/>
              <w:spacing w:line="360" w:lineRule="auto"/>
              <w:ind w:firstLine="120" w:firstLineChars="50"/>
              <w:rPr>
                <w:rFonts w:ascii="宋体" w:hAnsi="宋体" w:cs="宋体"/>
                <w:sz w:val="24"/>
              </w:rPr>
            </w:pPr>
          </w:p>
        </w:tc>
        <w:tc>
          <w:tcPr>
            <w:tcW w:w="948" w:type="dxa"/>
            <w:vAlign w:val="center"/>
          </w:tcPr>
          <w:p w14:paraId="6FA71C51">
            <w:pPr>
              <w:pStyle w:val="7"/>
              <w:numPr>
                <w:ilvl w:val="0"/>
                <w:numId w:val="7"/>
              </w:numPr>
              <w:spacing w:line="360" w:lineRule="auto"/>
              <w:ind w:left="0" w:firstLine="0" w:firstLineChars="0"/>
              <w:jc w:val="center"/>
              <w:rPr>
                <w:rFonts w:ascii="宋体" w:hAnsi="宋体" w:cs="宋体"/>
              </w:rPr>
            </w:pPr>
            <w:r>
              <w:rPr>
                <w:rFonts w:hint="eastAsia" w:ascii="宋体" w:hAnsi="宋体" w:cs="宋体"/>
              </w:rPr>
              <w:t>▲</w:t>
            </w:r>
          </w:p>
        </w:tc>
        <w:tc>
          <w:tcPr>
            <w:tcW w:w="6377" w:type="dxa"/>
          </w:tcPr>
          <w:p w14:paraId="78F63D31">
            <w:pPr>
              <w:spacing w:line="360" w:lineRule="auto"/>
              <w:rPr>
                <w:rFonts w:ascii="宋体" w:hAnsi="宋体"/>
                <w:sz w:val="24"/>
              </w:rPr>
            </w:pPr>
            <w:r>
              <w:rPr>
                <w:rFonts w:hint="eastAsia" w:ascii="宋体" w:hAnsi="宋体"/>
                <w:sz w:val="24"/>
              </w:rPr>
              <w:t>抛光头主轴运动行程≥200mm；</w:t>
            </w:r>
          </w:p>
        </w:tc>
      </w:tr>
      <w:tr w14:paraId="504F1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3" w:hRule="atLeast"/>
          <w:jc w:val="center"/>
        </w:trPr>
        <w:tc>
          <w:tcPr>
            <w:tcW w:w="608" w:type="dxa"/>
            <w:vMerge w:val="continue"/>
            <w:vAlign w:val="center"/>
          </w:tcPr>
          <w:p w14:paraId="3E7B0E20">
            <w:pPr>
              <w:widowControl/>
              <w:spacing w:line="360" w:lineRule="auto"/>
              <w:jc w:val="center"/>
              <w:rPr>
                <w:rFonts w:ascii="宋体" w:hAnsi="宋体" w:cs="宋体"/>
                <w:sz w:val="24"/>
              </w:rPr>
            </w:pPr>
          </w:p>
        </w:tc>
        <w:tc>
          <w:tcPr>
            <w:tcW w:w="1051" w:type="dxa"/>
            <w:vMerge w:val="continue"/>
            <w:vAlign w:val="center"/>
          </w:tcPr>
          <w:p w14:paraId="11D9C9A1">
            <w:pPr>
              <w:widowControl/>
              <w:spacing w:line="360" w:lineRule="auto"/>
              <w:ind w:firstLine="120" w:firstLineChars="50"/>
              <w:rPr>
                <w:rFonts w:ascii="宋体" w:hAnsi="宋体" w:cs="宋体"/>
                <w:sz w:val="24"/>
              </w:rPr>
            </w:pPr>
          </w:p>
        </w:tc>
        <w:tc>
          <w:tcPr>
            <w:tcW w:w="948" w:type="dxa"/>
            <w:vAlign w:val="center"/>
          </w:tcPr>
          <w:p w14:paraId="6B18DD75">
            <w:pPr>
              <w:pStyle w:val="7"/>
              <w:numPr>
                <w:ilvl w:val="0"/>
                <w:numId w:val="7"/>
              </w:numPr>
              <w:spacing w:line="360" w:lineRule="auto"/>
              <w:ind w:left="0" w:firstLine="0" w:firstLineChars="0"/>
              <w:jc w:val="center"/>
              <w:rPr>
                <w:rFonts w:ascii="宋体" w:hAnsi="宋体" w:cs="宋体"/>
              </w:rPr>
            </w:pPr>
            <w:r>
              <w:rPr>
                <w:rFonts w:hint="eastAsia" w:ascii="宋体" w:hAnsi="宋体" w:cs="宋体"/>
              </w:rPr>
              <w:t>▲</w:t>
            </w:r>
          </w:p>
        </w:tc>
        <w:tc>
          <w:tcPr>
            <w:tcW w:w="6377" w:type="dxa"/>
          </w:tcPr>
          <w:p w14:paraId="33F4C5A5">
            <w:pPr>
              <w:spacing w:line="360" w:lineRule="auto"/>
              <w:rPr>
                <w:rFonts w:ascii="宋体" w:hAnsi="宋体"/>
                <w:sz w:val="24"/>
              </w:rPr>
            </w:pPr>
            <w:r>
              <w:rPr>
                <w:rFonts w:hint="eastAsia" w:ascii="宋体" w:hAnsi="宋体"/>
                <w:sz w:val="24"/>
              </w:rPr>
              <w:t>抛光盘直径≥500mm，抛光盘至少2个；</w:t>
            </w:r>
          </w:p>
        </w:tc>
      </w:tr>
      <w:tr w14:paraId="00E73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3" w:hRule="atLeast"/>
          <w:jc w:val="center"/>
        </w:trPr>
        <w:tc>
          <w:tcPr>
            <w:tcW w:w="608" w:type="dxa"/>
            <w:vMerge w:val="continue"/>
            <w:vAlign w:val="center"/>
          </w:tcPr>
          <w:p w14:paraId="04A7FC56">
            <w:pPr>
              <w:widowControl/>
              <w:spacing w:line="360" w:lineRule="auto"/>
              <w:jc w:val="center"/>
              <w:rPr>
                <w:rFonts w:ascii="宋体" w:hAnsi="宋体" w:cs="宋体"/>
                <w:sz w:val="24"/>
              </w:rPr>
            </w:pPr>
          </w:p>
        </w:tc>
        <w:tc>
          <w:tcPr>
            <w:tcW w:w="1051" w:type="dxa"/>
            <w:vMerge w:val="continue"/>
            <w:vAlign w:val="center"/>
          </w:tcPr>
          <w:p w14:paraId="3B881F46">
            <w:pPr>
              <w:widowControl/>
              <w:spacing w:line="360" w:lineRule="auto"/>
              <w:ind w:firstLine="120" w:firstLineChars="50"/>
              <w:rPr>
                <w:rFonts w:ascii="宋体" w:hAnsi="宋体" w:cs="宋体"/>
                <w:sz w:val="24"/>
              </w:rPr>
            </w:pPr>
          </w:p>
        </w:tc>
        <w:tc>
          <w:tcPr>
            <w:tcW w:w="948" w:type="dxa"/>
            <w:vAlign w:val="center"/>
          </w:tcPr>
          <w:p w14:paraId="70248476">
            <w:pPr>
              <w:pStyle w:val="7"/>
              <w:numPr>
                <w:ilvl w:val="0"/>
                <w:numId w:val="7"/>
              </w:numPr>
              <w:spacing w:line="360" w:lineRule="auto"/>
              <w:ind w:left="0" w:firstLine="0" w:firstLineChars="0"/>
              <w:jc w:val="center"/>
              <w:rPr>
                <w:rFonts w:ascii="宋体" w:hAnsi="宋体" w:cs="宋体"/>
              </w:rPr>
            </w:pPr>
            <w:r>
              <w:rPr>
                <w:rFonts w:hint="eastAsia" w:ascii="宋体" w:hAnsi="宋体" w:cs="宋体"/>
              </w:rPr>
              <w:t>▲</w:t>
            </w:r>
          </w:p>
        </w:tc>
        <w:tc>
          <w:tcPr>
            <w:tcW w:w="6377" w:type="dxa"/>
          </w:tcPr>
          <w:p w14:paraId="43FAA05F">
            <w:pPr>
              <w:spacing w:line="360" w:lineRule="auto"/>
              <w:rPr>
                <w:rFonts w:ascii="宋体" w:hAnsi="宋体"/>
                <w:sz w:val="24"/>
              </w:rPr>
            </w:pPr>
            <w:r>
              <w:rPr>
                <w:rFonts w:hint="eastAsia" w:ascii="宋体" w:hAnsi="宋体"/>
                <w:sz w:val="24"/>
              </w:rPr>
              <w:t>抛光盘转速</w:t>
            </w:r>
            <w:r>
              <w:rPr>
                <w:rFonts w:ascii="Times New Roman" w:hAnsi="Times New Roman"/>
                <w:sz w:val="24"/>
              </w:rPr>
              <w:t>0~150rpm</w:t>
            </w:r>
            <w:r>
              <w:rPr>
                <w:rFonts w:hint="eastAsia" w:ascii="宋体" w:hAnsi="宋体"/>
                <w:sz w:val="24"/>
              </w:rPr>
              <w:t>，其中转速0～100rpm区间，误差≤±1rpm，转速101～150rpm区间，误差≤±2rpm；</w:t>
            </w:r>
          </w:p>
        </w:tc>
      </w:tr>
      <w:tr w14:paraId="65B61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3" w:hRule="atLeast"/>
          <w:jc w:val="center"/>
        </w:trPr>
        <w:tc>
          <w:tcPr>
            <w:tcW w:w="608" w:type="dxa"/>
            <w:vMerge w:val="continue"/>
            <w:vAlign w:val="center"/>
          </w:tcPr>
          <w:p w14:paraId="428CDBD0">
            <w:pPr>
              <w:widowControl/>
              <w:spacing w:line="360" w:lineRule="auto"/>
              <w:jc w:val="center"/>
              <w:rPr>
                <w:rFonts w:ascii="宋体" w:hAnsi="宋体" w:cs="宋体"/>
                <w:sz w:val="24"/>
              </w:rPr>
            </w:pPr>
          </w:p>
        </w:tc>
        <w:tc>
          <w:tcPr>
            <w:tcW w:w="1051" w:type="dxa"/>
            <w:vMerge w:val="continue"/>
            <w:vAlign w:val="center"/>
          </w:tcPr>
          <w:p w14:paraId="30D99D8C">
            <w:pPr>
              <w:widowControl/>
              <w:spacing w:line="360" w:lineRule="auto"/>
              <w:ind w:firstLine="120" w:firstLineChars="50"/>
              <w:rPr>
                <w:rFonts w:ascii="宋体" w:hAnsi="宋体" w:cs="宋体"/>
                <w:sz w:val="24"/>
              </w:rPr>
            </w:pPr>
          </w:p>
        </w:tc>
        <w:tc>
          <w:tcPr>
            <w:tcW w:w="948" w:type="dxa"/>
            <w:vAlign w:val="center"/>
          </w:tcPr>
          <w:p w14:paraId="277DC0C7">
            <w:pPr>
              <w:pStyle w:val="7"/>
              <w:numPr>
                <w:ilvl w:val="0"/>
                <w:numId w:val="7"/>
              </w:numPr>
              <w:spacing w:line="360" w:lineRule="auto"/>
              <w:ind w:left="0" w:firstLine="0" w:firstLineChars="0"/>
              <w:jc w:val="center"/>
              <w:rPr>
                <w:rFonts w:ascii="宋体" w:hAnsi="宋体" w:cs="宋体"/>
              </w:rPr>
            </w:pPr>
          </w:p>
        </w:tc>
        <w:tc>
          <w:tcPr>
            <w:tcW w:w="6377" w:type="dxa"/>
          </w:tcPr>
          <w:p w14:paraId="1E595F9F">
            <w:pPr>
              <w:spacing w:line="360" w:lineRule="auto"/>
              <w:rPr>
                <w:rFonts w:ascii="宋体" w:hAnsi="宋体"/>
                <w:sz w:val="24"/>
              </w:rPr>
            </w:pPr>
            <w:r>
              <w:rPr>
                <w:rFonts w:hint="eastAsia" w:ascii="宋体" w:hAnsi="宋体"/>
                <w:sz w:val="24"/>
              </w:rPr>
              <w:t>修整头转速</w:t>
            </w:r>
            <w:r>
              <w:rPr>
                <w:rFonts w:ascii="Times New Roman" w:hAnsi="Times New Roman"/>
                <w:sz w:val="24"/>
              </w:rPr>
              <w:t>0~150rpm</w:t>
            </w:r>
            <w:r>
              <w:rPr>
                <w:rFonts w:hint="eastAsia" w:ascii="宋体" w:hAnsi="宋体"/>
                <w:sz w:val="24"/>
              </w:rPr>
              <w:t>，主轴运动行程≥100mm；</w:t>
            </w:r>
          </w:p>
        </w:tc>
      </w:tr>
      <w:tr w14:paraId="07F46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3" w:hRule="atLeast"/>
          <w:jc w:val="center"/>
        </w:trPr>
        <w:tc>
          <w:tcPr>
            <w:tcW w:w="608" w:type="dxa"/>
            <w:vMerge w:val="continue"/>
            <w:vAlign w:val="center"/>
          </w:tcPr>
          <w:p w14:paraId="164E79D5">
            <w:pPr>
              <w:widowControl/>
              <w:spacing w:line="360" w:lineRule="auto"/>
              <w:jc w:val="center"/>
              <w:rPr>
                <w:rFonts w:ascii="宋体" w:hAnsi="宋体" w:cs="宋体"/>
                <w:sz w:val="24"/>
              </w:rPr>
            </w:pPr>
          </w:p>
        </w:tc>
        <w:tc>
          <w:tcPr>
            <w:tcW w:w="1051" w:type="dxa"/>
            <w:vMerge w:val="continue"/>
            <w:vAlign w:val="center"/>
          </w:tcPr>
          <w:p w14:paraId="5BA49667">
            <w:pPr>
              <w:widowControl/>
              <w:spacing w:line="360" w:lineRule="auto"/>
              <w:ind w:firstLine="120" w:firstLineChars="50"/>
              <w:rPr>
                <w:rFonts w:ascii="宋体" w:hAnsi="宋体" w:cs="宋体"/>
                <w:sz w:val="24"/>
              </w:rPr>
            </w:pPr>
          </w:p>
        </w:tc>
        <w:tc>
          <w:tcPr>
            <w:tcW w:w="7325" w:type="dxa"/>
            <w:gridSpan w:val="2"/>
            <w:vAlign w:val="center"/>
          </w:tcPr>
          <w:p w14:paraId="542AC5D5">
            <w:pPr>
              <w:spacing w:line="360" w:lineRule="auto"/>
              <w:rPr>
                <w:b/>
                <w:sz w:val="24"/>
              </w:rPr>
            </w:pPr>
            <w:r>
              <w:rPr>
                <w:rFonts w:hint="eastAsia"/>
                <w:b/>
                <w:sz w:val="24"/>
              </w:rPr>
              <w:t>四、供液/排液模块</w:t>
            </w:r>
          </w:p>
        </w:tc>
      </w:tr>
      <w:tr w14:paraId="20A5D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3" w:hRule="atLeast"/>
          <w:jc w:val="center"/>
        </w:trPr>
        <w:tc>
          <w:tcPr>
            <w:tcW w:w="608" w:type="dxa"/>
            <w:vMerge w:val="continue"/>
            <w:vAlign w:val="center"/>
          </w:tcPr>
          <w:p w14:paraId="458ADDC6">
            <w:pPr>
              <w:widowControl/>
              <w:spacing w:line="360" w:lineRule="auto"/>
              <w:jc w:val="center"/>
              <w:rPr>
                <w:rFonts w:ascii="宋体" w:hAnsi="宋体" w:cs="宋体"/>
                <w:sz w:val="24"/>
              </w:rPr>
            </w:pPr>
          </w:p>
        </w:tc>
        <w:tc>
          <w:tcPr>
            <w:tcW w:w="1051" w:type="dxa"/>
            <w:vMerge w:val="continue"/>
            <w:vAlign w:val="center"/>
          </w:tcPr>
          <w:p w14:paraId="7B6ABC09">
            <w:pPr>
              <w:widowControl/>
              <w:spacing w:line="360" w:lineRule="auto"/>
              <w:ind w:firstLine="120" w:firstLineChars="50"/>
              <w:rPr>
                <w:rFonts w:ascii="宋体" w:hAnsi="宋体" w:cs="宋体"/>
                <w:sz w:val="24"/>
              </w:rPr>
            </w:pPr>
          </w:p>
        </w:tc>
        <w:tc>
          <w:tcPr>
            <w:tcW w:w="948" w:type="dxa"/>
            <w:vAlign w:val="center"/>
          </w:tcPr>
          <w:p w14:paraId="48BC8D92">
            <w:pPr>
              <w:pStyle w:val="7"/>
              <w:numPr>
                <w:ilvl w:val="0"/>
                <w:numId w:val="8"/>
              </w:numPr>
              <w:spacing w:line="360" w:lineRule="auto"/>
              <w:ind w:firstLineChars="0"/>
              <w:jc w:val="center"/>
              <w:rPr>
                <w:rFonts w:ascii="宋体" w:hAnsi="宋体" w:cs="宋体"/>
              </w:rPr>
            </w:pPr>
            <w:r>
              <w:rPr>
                <w:rFonts w:hint="eastAsia" w:ascii="宋体" w:hAnsi="宋体" w:cs="宋体"/>
              </w:rPr>
              <w:t>★</w:t>
            </w:r>
          </w:p>
        </w:tc>
        <w:tc>
          <w:tcPr>
            <w:tcW w:w="6377" w:type="dxa"/>
          </w:tcPr>
          <w:p w14:paraId="048FEDE3">
            <w:pPr>
              <w:spacing w:line="360" w:lineRule="auto"/>
              <w:rPr>
                <w:rFonts w:ascii="宋体" w:hAnsi="宋体" w:cs="宋体"/>
                <w:sz w:val="24"/>
              </w:rPr>
            </w:pPr>
            <w:r>
              <w:rPr>
                <w:rFonts w:hint="eastAsia" w:ascii="宋体" w:hAnsi="宋体"/>
                <w:bCs/>
                <w:sz w:val="24"/>
              </w:rPr>
              <w:t>抛光液供液不少于2路，可实现2种不同抛光液单独供液，蠕动泵供液，流速可控，流速范围至少包含</w:t>
            </w:r>
            <w:r>
              <w:rPr>
                <w:rFonts w:ascii="Times New Roman" w:hAnsi="Times New Roman"/>
                <w:bCs/>
                <w:sz w:val="24"/>
              </w:rPr>
              <w:t>0~200</w:t>
            </w:r>
            <w:r>
              <w:rPr>
                <w:rFonts w:hint="eastAsia" w:ascii="Times New Roman" w:hAnsi="Times New Roman"/>
                <w:bCs/>
                <w:sz w:val="24"/>
              </w:rPr>
              <w:t>ml</w:t>
            </w:r>
            <w:r>
              <w:rPr>
                <w:rFonts w:ascii="Times New Roman" w:hAnsi="Times New Roman"/>
                <w:bCs/>
                <w:sz w:val="24"/>
              </w:rPr>
              <w:t>/min</w:t>
            </w:r>
            <w:r>
              <w:rPr>
                <w:rFonts w:hint="eastAsia" w:ascii="宋体" w:hAnsi="宋体"/>
                <w:bCs/>
                <w:sz w:val="24"/>
              </w:rPr>
              <w:t>；</w:t>
            </w:r>
          </w:p>
        </w:tc>
      </w:tr>
      <w:tr w14:paraId="1D719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3" w:hRule="atLeast"/>
          <w:jc w:val="center"/>
        </w:trPr>
        <w:tc>
          <w:tcPr>
            <w:tcW w:w="608" w:type="dxa"/>
            <w:vMerge w:val="continue"/>
            <w:vAlign w:val="center"/>
          </w:tcPr>
          <w:p w14:paraId="15C60E49">
            <w:pPr>
              <w:widowControl/>
              <w:spacing w:line="360" w:lineRule="auto"/>
              <w:jc w:val="center"/>
              <w:rPr>
                <w:rFonts w:ascii="宋体" w:hAnsi="宋体" w:cs="宋体"/>
                <w:sz w:val="24"/>
              </w:rPr>
            </w:pPr>
          </w:p>
        </w:tc>
        <w:tc>
          <w:tcPr>
            <w:tcW w:w="1051" w:type="dxa"/>
            <w:vMerge w:val="continue"/>
            <w:vAlign w:val="center"/>
          </w:tcPr>
          <w:p w14:paraId="6A1EB6C5">
            <w:pPr>
              <w:widowControl/>
              <w:spacing w:line="360" w:lineRule="auto"/>
              <w:ind w:firstLine="120" w:firstLineChars="50"/>
              <w:rPr>
                <w:rFonts w:ascii="宋体" w:hAnsi="宋体" w:cs="宋体"/>
                <w:sz w:val="24"/>
              </w:rPr>
            </w:pPr>
          </w:p>
        </w:tc>
        <w:tc>
          <w:tcPr>
            <w:tcW w:w="948" w:type="dxa"/>
            <w:vAlign w:val="center"/>
          </w:tcPr>
          <w:p w14:paraId="3756A2DF">
            <w:pPr>
              <w:pStyle w:val="7"/>
              <w:numPr>
                <w:ilvl w:val="0"/>
                <w:numId w:val="8"/>
              </w:numPr>
              <w:spacing w:line="360" w:lineRule="auto"/>
              <w:ind w:firstLineChars="0"/>
              <w:jc w:val="center"/>
              <w:rPr>
                <w:rFonts w:ascii="宋体" w:hAnsi="宋体" w:cs="宋体"/>
              </w:rPr>
            </w:pPr>
          </w:p>
        </w:tc>
        <w:tc>
          <w:tcPr>
            <w:tcW w:w="6377" w:type="dxa"/>
          </w:tcPr>
          <w:p w14:paraId="11B30FCB">
            <w:pPr>
              <w:spacing w:line="360" w:lineRule="auto"/>
              <w:rPr>
                <w:rFonts w:ascii="宋体" w:hAnsi="宋体" w:cs="宋体"/>
                <w:sz w:val="24"/>
              </w:rPr>
            </w:pPr>
            <w:r>
              <w:rPr>
                <w:rFonts w:hint="eastAsia" w:ascii="宋体" w:hAnsi="宋体"/>
                <w:bCs/>
                <w:sz w:val="24"/>
              </w:rPr>
              <w:t>带有抛光液预混合装置，抛光液4路预混合管路，可实现4种液体抛光原料任意比例的预混合，浓度可控，浓度范围包含</w:t>
            </w:r>
            <w:r>
              <w:rPr>
                <w:rFonts w:ascii="Times New Roman" w:hAnsi="Times New Roman"/>
                <w:bCs/>
                <w:sz w:val="24"/>
              </w:rPr>
              <w:t>0~100%</w:t>
            </w:r>
            <w:r>
              <w:rPr>
                <w:rFonts w:hint="eastAsia" w:ascii="宋体" w:hAnsi="宋体"/>
                <w:bCs/>
                <w:sz w:val="24"/>
              </w:rPr>
              <w:t>；</w:t>
            </w:r>
          </w:p>
        </w:tc>
      </w:tr>
      <w:tr w14:paraId="0B594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3" w:hRule="atLeast"/>
          <w:jc w:val="center"/>
        </w:trPr>
        <w:tc>
          <w:tcPr>
            <w:tcW w:w="608" w:type="dxa"/>
            <w:vMerge w:val="continue"/>
            <w:vAlign w:val="center"/>
          </w:tcPr>
          <w:p w14:paraId="2A9B9404">
            <w:pPr>
              <w:widowControl/>
              <w:spacing w:line="360" w:lineRule="auto"/>
              <w:jc w:val="center"/>
              <w:rPr>
                <w:rFonts w:ascii="宋体" w:hAnsi="宋体" w:cs="宋体"/>
                <w:sz w:val="24"/>
              </w:rPr>
            </w:pPr>
          </w:p>
        </w:tc>
        <w:tc>
          <w:tcPr>
            <w:tcW w:w="1051" w:type="dxa"/>
            <w:vMerge w:val="continue"/>
            <w:vAlign w:val="center"/>
          </w:tcPr>
          <w:p w14:paraId="2D8A2D1A">
            <w:pPr>
              <w:widowControl/>
              <w:spacing w:line="360" w:lineRule="auto"/>
              <w:ind w:firstLine="120" w:firstLineChars="50"/>
              <w:rPr>
                <w:rFonts w:ascii="宋体" w:hAnsi="宋体" w:cs="宋体"/>
                <w:sz w:val="24"/>
              </w:rPr>
            </w:pPr>
          </w:p>
        </w:tc>
        <w:tc>
          <w:tcPr>
            <w:tcW w:w="948" w:type="dxa"/>
            <w:vAlign w:val="center"/>
          </w:tcPr>
          <w:p w14:paraId="28F11B82">
            <w:pPr>
              <w:pStyle w:val="7"/>
              <w:numPr>
                <w:ilvl w:val="0"/>
                <w:numId w:val="8"/>
              </w:numPr>
              <w:spacing w:line="360" w:lineRule="auto"/>
              <w:ind w:firstLineChars="0"/>
              <w:jc w:val="center"/>
              <w:rPr>
                <w:rFonts w:ascii="宋体" w:hAnsi="宋体" w:cs="宋体"/>
              </w:rPr>
            </w:pPr>
            <w:r>
              <w:rPr>
                <w:rFonts w:hint="eastAsia" w:ascii="宋体" w:hAnsi="宋体" w:cs="宋体"/>
              </w:rPr>
              <w:t>▲</w:t>
            </w:r>
          </w:p>
        </w:tc>
        <w:tc>
          <w:tcPr>
            <w:tcW w:w="6377" w:type="dxa"/>
          </w:tcPr>
          <w:p w14:paraId="44B914A1">
            <w:pPr>
              <w:spacing w:line="360" w:lineRule="auto"/>
              <w:rPr>
                <w:rFonts w:ascii="宋体" w:hAnsi="宋体" w:cs="宋体"/>
                <w:sz w:val="24"/>
              </w:rPr>
            </w:pPr>
            <w:r>
              <w:rPr>
                <w:rFonts w:hint="eastAsia" w:ascii="宋体" w:hAnsi="宋体"/>
                <w:bCs/>
                <w:sz w:val="24"/>
              </w:rPr>
              <w:t>具有抛光液过滤功能，可过滤抛光液中的杂质颗粒、团聚磨粒等影响抛光质量的大颗粒，并且可通过更换过滤芯改变过滤颗粒尺寸，过滤后抛光液内500nm以上粒径颗粒小于等于100个每毫升；</w:t>
            </w:r>
          </w:p>
        </w:tc>
      </w:tr>
      <w:tr w14:paraId="69E49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3" w:hRule="atLeast"/>
          <w:jc w:val="center"/>
        </w:trPr>
        <w:tc>
          <w:tcPr>
            <w:tcW w:w="608" w:type="dxa"/>
            <w:vMerge w:val="continue"/>
            <w:vAlign w:val="center"/>
          </w:tcPr>
          <w:p w14:paraId="7BD835BE">
            <w:pPr>
              <w:widowControl/>
              <w:spacing w:line="360" w:lineRule="auto"/>
              <w:jc w:val="center"/>
              <w:rPr>
                <w:rFonts w:ascii="宋体" w:hAnsi="宋体" w:cs="宋体"/>
                <w:sz w:val="24"/>
              </w:rPr>
            </w:pPr>
          </w:p>
        </w:tc>
        <w:tc>
          <w:tcPr>
            <w:tcW w:w="1051" w:type="dxa"/>
            <w:vMerge w:val="continue"/>
            <w:vAlign w:val="center"/>
          </w:tcPr>
          <w:p w14:paraId="3092AE2A">
            <w:pPr>
              <w:widowControl/>
              <w:spacing w:line="360" w:lineRule="auto"/>
              <w:ind w:firstLine="120" w:firstLineChars="50"/>
              <w:rPr>
                <w:rFonts w:ascii="宋体" w:hAnsi="宋体" w:cs="宋体"/>
                <w:sz w:val="24"/>
              </w:rPr>
            </w:pPr>
          </w:p>
        </w:tc>
        <w:tc>
          <w:tcPr>
            <w:tcW w:w="948" w:type="dxa"/>
            <w:vAlign w:val="center"/>
          </w:tcPr>
          <w:p w14:paraId="063049B8">
            <w:pPr>
              <w:pStyle w:val="7"/>
              <w:numPr>
                <w:ilvl w:val="0"/>
                <w:numId w:val="8"/>
              </w:numPr>
              <w:spacing w:line="360" w:lineRule="auto"/>
              <w:ind w:firstLineChars="0"/>
              <w:jc w:val="center"/>
              <w:rPr>
                <w:rFonts w:ascii="宋体" w:hAnsi="宋体" w:cs="宋体"/>
              </w:rPr>
            </w:pPr>
          </w:p>
        </w:tc>
        <w:tc>
          <w:tcPr>
            <w:tcW w:w="6377" w:type="dxa"/>
          </w:tcPr>
          <w:p w14:paraId="0588BDC3">
            <w:pPr>
              <w:spacing w:line="360" w:lineRule="auto"/>
              <w:rPr>
                <w:rFonts w:ascii="宋体" w:hAnsi="宋体" w:cs="宋体"/>
                <w:sz w:val="24"/>
              </w:rPr>
            </w:pPr>
            <w:r>
              <w:rPr>
                <w:rFonts w:hint="eastAsia" w:ascii="宋体" w:hAnsi="宋体"/>
                <w:bCs/>
                <w:sz w:val="24"/>
              </w:rPr>
              <w:t>具有台面清洗功能，可清洗台面上残留磨粒等，避免干燥形成颗粒；</w:t>
            </w:r>
          </w:p>
        </w:tc>
      </w:tr>
      <w:tr w14:paraId="45BF2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3" w:hRule="atLeast"/>
          <w:jc w:val="center"/>
        </w:trPr>
        <w:tc>
          <w:tcPr>
            <w:tcW w:w="608" w:type="dxa"/>
            <w:vMerge w:val="continue"/>
            <w:vAlign w:val="center"/>
          </w:tcPr>
          <w:p w14:paraId="00BCDC0D">
            <w:pPr>
              <w:widowControl/>
              <w:spacing w:line="360" w:lineRule="auto"/>
              <w:jc w:val="center"/>
              <w:rPr>
                <w:rFonts w:ascii="宋体" w:hAnsi="宋体" w:cs="宋体"/>
                <w:sz w:val="24"/>
              </w:rPr>
            </w:pPr>
          </w:p>
        </w:tc>
        <w:tc>
          <w:tcPr>
            <w:tcW w:w="1051" w:type="dxa"/>
            <w:vMerge w:val="continue"/>
            <w:vAlign w:val="center"/>
          </w:tcPr>
          <w:p w14:paraId="68528F80">
            <w:pPr>
              <w:widowControl/>
              <w:spacing w:line="360" w:lineRule="auto"/>
              <w:ind w:firstLine="120" w:firstLineChars="50"/>
              <w:rPr>
                <w:rFonts w:ascii="宋体" w:hAnsi="宋体" w:cs="宋体"/>
                <w:sz w:val="24"/>
              </w:rPr>
            </w:pPr>
          </w:p>
        </w:tc>
        <w:tc>
          <w:tcPr>
            <w:tcW w:w="7325" w:type="dxa"/>
            <w:gridSpan w:val="2"/>
            <w:vAlign w:val="center"/>
          </w:tcPr>
          <w:p w14:paraId="425804DB">
            <w:pPr>
              <w:widowControl/>
              <w:spacing w:line="360" w:lineRule="auto"/>
              <w:rPr>
                <w:rFonts w:ascii="宋体" w:hAnsi="宋体"/>
                <w:b/>
                <w:sz w:val="24"/>
              </w:rPr>
            </w:pPr>
            <w:r>
              <w:rPr>
                <w:rFonts w:hint="eastAsia" w:ascii="宋体" w:hAnsi="宋体"/>
                <w:b/>
                <w:sz w:val="24"/>
              </w:rPr>
              <w:t>五、</w:t>
            </w:r>
            <w:r>
              <w:rPr>
                <w:rFonts w:ascii="宋体" w:hAnsi="宋体"/>
                <w:b/>
                <w:sz w:val="24"/>
              </w:rPr>
              <w:t>控制</w:t>
            </w:r>
            <w:r>
              <w:rPr>
                <w:rFonts w:hint="eastAsia" w:ascii="宋体" w:hAnsi="宋体"/>
                <w:b/>
                <w:sz w:val="24"/>
              </w:rPr>
              <w:t>模块</w:t>
            </w:r>
          </w:p>
        </w:tc>
      </w:tr>
      <w:tr w14:paraId="5F3D9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3" w:hRule="atLeast"/>
          <w:jc w:val="center"/>
        </w:trPr>
        <w:tc>
          <w:tcPr>
            <w:tcW w:w="608" w:type="dxa"/>
            <w:vMerge w:val="continue"/>
            <w:vAlign w:val="center"/>
          </w:tcPr>
          <w:p w14:paraId="51077382">
            <w:pPr>
              <w:widowControl/>
              <w:spacing w:line="360" w:lineRule="auto"/>
              <w:jc w:val="center"/>
              <w:rPr>
                <w:rFonts w:ascii="宋体" w:hAnsi="宋体" w:cs="宋体"/>
                <w:sz w:val="24"/>
              </w:rPr>
            </w:pPr>
          </w:p>
        </w:tc>
        <w:tc>
          <w:tcPr>
            <w:tcW w:w="1051" w:type="dxa"/>
            <w:vMerge w:val="continue"/>
            <w:vAlign w:val="center"/>
          </w:tcPr>
          <w:p w14:paraId="25E72F53">
            <w:pPr>
              <w:widowControl/>
              <w:spacing w:line="360" w:lineRule="auto"/>
              <w:ind w:firstLine="120" w:firstLineChars="50"/>
              <w:rPr>
                <w:rFonts w:ascii="宋体" w:hAnsi="宋体" w:cs="宋体"/>
                <w:sz w:val="24"/>
              </w:rPr>
            </w:pPr>
          </w:p>
        </w:tc>
        <w:tc>
          <w:tcPr>
            <w:tcW w:w="948" w:type="dxa"/>
            <w:vAlign w:val="center"/>
          </w:tcPr>
          <w:p w14:paraId="310F489D">
            <w:pPr>
              <w:pStyle w:val="7"/>
              <w:numPr>
                <w:ilvl w:val="0"/>
                <w:numId w:val="9"/>
              </w:numPr>
              <w:spacing w:line="360" w:lineRule="auto"/>
              <w:ind w:firstLineChars="0"/>
              <w:jc w:val="center"/>
              <w:rPr>
                <w:rFonts w:ascii="宋体" w:hAnsi="宋体" w:cs="宋体"/>
              </w:rPr>
            </w:pPr>
            <w:r>
              <w:rPr>
                <w:rFonts w:hint="eastAsia" w:ascii="宋体" w:hAnsi="宋体" w:cs="宋体"/>
              </w:rPr>
              <w:t>▲</w:t>
            </w:r>
          </w:p>
        </w:tc>
        <w:tc>
          <w:tcPr>
            <w:tcW w:w="6377" w:type="dxa"/>
          </w:tcPr>
          <w:p w14:paraId="32617120">
            <w:pPr>
              <w:spacing w:line="360" w:lineRule="auto"/>
              <w:rPr>
                <w:rFonts w:ascii="宋体" w:hAnsi="宋体" w:cs="宋体"/>
                <w:sz w:val="24"/>
              </w:rPr>
            </w:pPr>
            <w:r>
              <w:rPr>
                <w:rFonts w:hint="eastAsia" w:ascii="宋体" w:hAnsi="宋体"/>
                <w:sz w:val="24"/>
              </w:rPr>
              <w:t>电流稳定，开关机时不出现跳闸；</w:t>
            </w:r>
          </w:p>
        </w:tc>
      </w:tr>
      <w:tr w14:paraId="0A3D7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3" w:hRule="atLeast"/>
          <w:jc w:val="center"/>
        </w:trPr>
        <w:tc>
          <w:tcPr>
            <w:tcW w:w="608" w:type="dxa"/>
            <w:vMerge w:val="continue"/>
            <w:vAlign w:val="center"/>
          </w:tcPr>
          <w:p w14:paraId="58654568">
            <w:pPr>
              <w:widowControl/>
              <w:spacing w:line="360" w:lineRule="auto"/>
              <w:jc w:val="center"/>
              <w:rPr>
                <w:rFonts w:ascii="宋体" w:hAnsi="宋体" w:cs="宋体"/>
                <w:sz w:val="24"/>
              </w:rPr>
            </w:pPr>
          </w:p>
        </w:tc>
        <w:tc>
          <w:tcPr>
            <w:tcW w:w="1051" w:type="dxa"/>
            <w:vMerge w:val="continue"/>
            <w:vAlign w:val="center"/>
          </w:tcPr>
          <w:p w14:paraId="402497B3">
            <w:pPr>
              <w:widowControl/>
              <w:spacing w:line="360" w:lineRule="auto"/>
              <w:ind w:firstLine="120" w:firstLineChars="50"/>
              <w:rPr>
                <w:rFonts w:ascii="宋体" w:hAnsi="宋体" w:cs="宋体"/>
                <w:sz w:val="24"/>
              </w:rPr>
            </w:pPr>
          </w:p>
        </w:tc>
        <w:tc>
          <w:tcPr>
            <w:tcW w:w="948" w:type="dxa"/>
            <w:vAlign w:val="center"/>
          </w:tcPr>
          <w:p w14:paraId="56DC7D9A">
            <w:pPr>
              <w:pStyle w:val="7"/>
              <w:numPr>
                <w:ilvl w:val="0"/>
                <w:numId w:val="9"/>
              </w:numPr>
              <w:spacing w:line="360" w:lineRule="auto"/>
              <w:ind w:firstLineChars="0"/>
              <w:jc w:val="center"/>
              <w:rPr>
                <w:rFonts w:ascii="宋体" w:hAnsi="宋体" w:cs="宋体"/>
              </w:rPr>
            </w:pPr>
          </w:p>
        </w:tc>
        <w:tc>
          <w:tcPr>
            <w:tcW w:w="6377" w:type="dxa"/>
          </w:tcPr>
          <w:p w14:paraId="63CB5309">
            <w:pPr>
              <w:spacing w:line="360" w:lineRule="auto"/>
              <w:rPr>
                <w:rFonts w:ascii="宋体" w:hAnsi="宋体" w:cs="宋体"/>
                <w:sz w:val="24"/>
              </w:rPr>
            </w:pPr>
            <w:r>
              <w:rPr>
                <w:rFonts w:hint="eastAsia" w:ascii="宋体" w:hAnsi="宋体"/>
                <w:sz w:val="24"/>
              </w:rPr>
              <w:t>可采集抛光过程中扭矩或主轴电机电流；</w:t>
            </w:r>
          </w:p>
        </w:tc>
      </w:tr>
      <w:tr w14:paraId="3620F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3" w:hRule="atLeast"/>
          <w:jc w:val="center"/>
        </w:trPr>
        <w:tc>
          <w:tcPr>
            <w:tcW w:w="608" w:type="dxa"/>
            <w:vMerge w:val="continue"/>
            <w:vAlign w:val="center"/>
          </w:tcPr>
          <w:p w14:paraId="72C46728">
            <w:pPr>
              <w:widowControl/>
              <w:spacing w:line="360" w:lineRule="auto"/>
              <w:jc w:val="center"/>
              <w:rPr>
                <w:rFonts w:ascii="宋体" w:hAnsi="宋体" w:cs="宋体"/>
                <w:sz w:val="24"/>
              </w:rPr>
            </w:pPr>
          </w:p>
        </w:tc>
        <w:tc>
          <w:tcPr>
            <w:tcW w:w="1051" w:type="dxa"/>
            <w:vMerge w:val="continue"/>
            <w:vAlign w:val="center"/>
          </w:tcPr>
          <w:p w14:paraId="73B64B63">
            <w:pPr>
              <w:widowControl/>
              <w:spacing w:line="360" w:lineRule="auto"/>
              <w:ind w:firstLine="120" w:firstLineChars="50"/>
              <w:rPr>
                <w:rFonts w:ascii="宋体" w:hAnsi="宋体" w:cs="宋体"/>
                <w:sz w:val="24"/>
              </w:rPr>
            </w:pPr>
          </w:p>
        </w:tc>
        <w:tc>
          <w:tcPr>
            <w:tcW w:w="948" w:type="dxa"/>
            <w:vAlign w:val="center"/>
          </w:tcPr>
          <w:p w14:paraId="3376F77F">
            <w:pPr>
              <w:pStyle w:val="7"/>
              <w:numPr>
                <w:ilvl w:val="0"/>
                <w:numId w:val="9"/>
              </w:numPr>
              <w:spacing w:line="360" w:lineRule="auto"/>
              <w:ind w:firstLineChars="0"/>
              <w:jc w:val="center"/>
              <w:rPr>
                <w:rFonts w:ascii="宋体" w:hAnsi="宋体" w:cs="宋体"/>
              </w:rPr>
            </w:pPr>
          </w:p>
        </w:tc>
        <w:tc>
          <w:tcPr>
            <w:tcW w:w="6377" w:type="dxa"/>
          </w:tcPr>
          <w:p w14:paraId="76019794">
            <w:pPr>
              <w:spacing w:line="360" w:lineRule="auto"/>
              <w:rPr>
                <w:rFonts w:ascii="宋体" w:hAnsi="宋体" w:cs="宋体"/>
                <w:sz w:val="24"/>
              </w:rPr>
            </w:pPr>
            <w:r>
              <w:rPr>
                <w:rFonts w:hint="eastAsia" w:ascii="宋体" w:hAnsi="宋体"/>
                <w:sz w:val="24"/>
              </w:rPr>
              <w:t>可实现工艺编辑功能，实现多种工艺方法的快速编辑，如预抛光工艺、正式抛光工艺、清洗工艺、待机清洁工艺等；</w:t>
            </w:r>
          </w:p>
        </w:tc>
      </w:tr>
      <w:tr w14:paraId="36D42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3" w:hRule="atLeast"/>
          <w:jc w:val="center"/>
        </w:trPr>
        <w:tc>
          <w:tcPr>
            <w:tcW w:w="608" w:type="dxa"/>
            <w:vMerge w:val="continue"/>
            <w:vAlign w:val="center"/>
          </w:tcPr>
          <w:p w14:paraId="2AB59730">
            <w:pPr>
              <w:widowControl/>
              <w:spacing w:line="360" w:lineRule="auto"/>
              <w:jc w:val="center"/>
              <w:rPr>
                <w:rFonts w:ascii="宋体" w:hAnsi="宋体" w:cs="宋体"/>
                <w:sz w:val="24"/>
              </w:rPr>
            </w:pPr>
          </w:p>
        </w:tc>
        <w:tc>
          <w:tcPr>
            <w:tcW w:w="1051" w:type="dxa"/>
            <w:vMerge w:val="continue"/>
            <w:vAlign w:val="center"/>
          </w:tcPr>
          <w:p w14:paraId="1375CDA1">
            <w:pPr>
              <w:widowControl/>
              <w:spacing w:line="360" w:lineRule="auto"/>
              <w:ind w:firstLine="120" w:firstLineChars="50"/>
              <w:rPr>
                <w:rFonts w:ascii="宋体" w:hAnsi="宋体" w:cs="宋体"/>
                <w:sz w:val="24"/>
              </w:rPr>
            </w:pPr>
          </w:p>
        </w:tc>
        <w:tc>
          <w:tcPr>
            <w:tcW w:w="948" w:type="dxa"/>
            <w:vAlign w:val="center"/>
          </w:tcPr>
          <w:p w14:paraId="295E4E04">
            <w:pPr>
              <w:pStyle w:val="7"/>
              <w:numPr>
                <w:ilvl w:val="0"/>
                <w:numId w:val="9"/>
              </w:numPr>
              <w:spacing w:line="360" w:lineRule="auto"/>
              <w:ind w:firstLineChars="0"/>
              <w:jc w:val="center"/>
              <w:rPr>
                <w:rFonts w:ascii="宋体" w:hAnsi="宋体" w:cs="宋体"/>
              </w:rPr>
            </w:pPr>
          </w:p>
        </w:tc>
        <w:tc>
          <w:tcPr>
            <w:tcW w:w="6377" w:type="dxa"/>
          </w:tcPr>
          <w:p w14:paraId="21E3AF98">
            <w:pPr>
              <w:spacing w:line="360" w:lineRule="auto"/>
              <w:rPr>
                <w:rFonts w:ascii="宋体" w:hAnsi="宋体"/>
                <w:sz w:val="24"/>
              </w:rPr>
            </w:pPr>
            <w:r>
              <w:rPr>
                <w:rFonts w:hint="eastAsia" w:ascii="宋体" w:hAnsi="宋体"/>
                <w:sz w:val="24"/>
              </w:rPr>
              <w:t>设备运行稳定，不出现无故报警、滑片等问题；</w:t>
            </w:r>
          </w:p>
        </w:tc>
      </w:tr>
      <w:tr w14:paraId="6006D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3" w:hRule="atLeast"/>
          <w:jc w:val="center"/>
        </w:trPr>
        <w:tc>
          <w:tcPr>
            <w:tcW w:w="608" w:type="dxa"/>
            <w:vMerge w:val="continue"/>
            <w:vAlign w:val="center"/>
          </w:tcPr>
          <w:p w14:paraId="02E71744">
            <w:pPr>
              <w:widowControl/>
              <w:spacing w:line="360" w:lineRule="auto"/>
              <w:jc w:val="center"/>
              <w:rPr>
                <w:rFonts w:ascii="宋体" w:hAnsi="宋体" w:cs="宋体"/>
                <w:sz w:val="24"/>
              </w:rPr>
            </w:pPr>
          </w:p>
        </w:tc>
        <w:tc>
          <w:tcPr>
            <w:tcW w:w="1051" w:type="dxa"/>
            <w:vMerge w:val="continue"/>
            <w:vAlign w:val="center"/>
          </w:tcPr>
          <w:p w14:paraId="76744C83">
            <w:pPr>
              <w:widowControl/>
              <w:spacing w:line="360" w:lineRule="auto"/>
              <w:ind w:firstLine="120" w:firstLineChars="50"/>
              <w:rPr>
                <w:rFonts w:ascii="宋体" w:hAnsi="宋体" w:cs="宋体"/>
                <w:sz w:val="24"/>
              </w:rPr>
            </w:pPr>
          </w:p>
        </w:tc>
        <w:tc>
          <w:tcPr>
            <w:tcW w:w="7325" w:type="dxa"/>
            <w:gridSpan w:val="2"/>
            <w:vAlign w:val="center"/>
          </w:tcPr>
          <w:p w14:paraId="66A8425D">
            <w:pPr>
              <w:spacing w:line="360" w:lineRule="auto"/>
              <w:rPr>
                <w:rFonts w:ascii="宋体" w:hAnsi="宋体"/>
                <w:b/>
                <w:bCs/>
                <w:sz w:val="24"/>
              </w:rPr>
            </w:pPr>
            <w:r>
              <w:rPr>
                <w:rFonts w:hint="eastAsia" w:ascii="宋体" w:hAnsi="宋体"/>
                <w:b/>
                <w:bCs/>
                <w:sz w:val="24"/>
              </w:rPr>
              <w:t>六、外置接口</w:t>
            </w:r>
          </w:p>
        </w:tc>
      </w:tr>
      <w:tr w14:paraId="33A08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3" w:hRule="atLeast"/>
          <w:jc w:val="center"/>
        </w:trPr>
        <w:tc>
          <w:tcPr>
            <w:tcW w:w="608" w:type="dxa"/>
            <w:vMerge w:val="continue"/>
            <w:vAlign w:val="center"/>
          </w:tcPr>
          <w:p w14:paraId="013D83C3">
            <w:pPr>
              <w:widowControl/>
              <w:spacing w:line="360" w:lineRule="auto"/>
              <w:jc w:val="center"/>
              <w:rPr>
                <w:rFonts w:ascii="宋体" w:hAnsi="宋体" w:cs="宋体"/>
                <w:sz w:val="24"/>
              </w:rPr>
            </w:pPr>
          </w:p>
        </w:tc>
        <w:tc>
          <w:tcPr>
            <w:tcW w:w="1051" w:type="dxa"/>
            <w:vMerge w:val="continue"/>
            <w:vAlign w:val="center"/>
          </w:tcPr>
          <w:p w14:paraId="2FF48B42">
            <w:pPr>
              <w:widowControl/>
              <w:spacing w:line="360" w:lineRule="auto"/>
              <w:ind w:firstLine="120" w:firstLineChars="50"/>
              <w:rPr>
                <w:rFonts w:ascii="宋体" w:hAnsi="宋体" w:cs="宋体"/>
                <w:sz w:val="24"/>
              </w:rPr>
            </w:pPr>
          </w:p>
        </w:tc>
        <w:tc>
          <w:tcPr>
            <w:tcW w:w="948" w:type="dxa"/>
            <w:vAlign w:val="center"/>
          </w:tcPr>
          <w:p w14:paraId="538F3E64">
            <w:pPr>
              <w:pStyle w:val="7"/>
              <w:spacing w:line="360" w:lineRule="auto"/>
              <w:ind w:firstLine="0" w:firstLineChars="0"/>
              <w:jc w:val="center"/>
              <w:rPr>
                <w:rFonts w:ascii="宋体" w:hAnsi="宋体" w:cs="宋体"/>
              </w:rPr>
            </w:pPr>
            <w:r>
              <w:rPr>
                <w:rFonts w:hint="eastAsia" w:ascii="宋体" w:hAnsi="宋体" w:cs="宋体"/>
              </w:rPr>
              <w:t>6.1▲</w:t>
            </w:r>
          </w:p>
        </w:tc>
        <w:tc>
          <w:tcPr>
            <w:tcW w:w="6377" w:type="dxa"/>
          </w:tcPr>
          <w:p w14:paraId="39595862">
            <w:pPr>
              <w:spacing w:line="360" w:lineRule="auto"/>
              <w:rPr>
                <w:rFonts w:ascii="宋体" w:hAnsi="宋体"/>
                <w:sz w:val="24"/>
              </w:rPr>
            </w:pPr>
            <w:r>
              <w:rPr>
                <w:rFonts w:hint="eastAsia" w:ascii="宋体" w:hAnsi="宋体"/>
                <w:sz w:val="24"/>
              </w:rPr>
              <w:t>抛光头需预留尺寸约为直径300mm，厚度150mm，中空直径约为50-80mm的驱动电源总成模块的安装接口，抛光头主轴z向运动需兼容抛光头+驱动电源总成模块总尺寸；</w:t>
            </w:r>
          </w:p>
        </w:tc>
      </w:tr>
      <w:tr w14:paraId="63623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3" w:hRule="atLeast"/>
          <w:jc w:val="center"/>
        </w:trPr>
        <w:tc>
          <w:tcPr>
            <w:tcW w:w="608" w:type="dxa"/>
            <w:vMerge w:val="continue"/>
            <w:vAlign w:val="center"/>
          </w:tcPr>
          <w:p w14:paraId="303C3618">
            <w:pPr>
              <w:widowControl/>
              <w:spacing w:line="360" w:lineRule="auto"/>
              <w:jc w:val="center"/>
              <w:rPr>
                <w:rFonts w:ascii="宋体" w:hAnsi="宋体" w:cs="宋体"/>
                <w:sz w:val="24"/>
              </w:rPr>
            </w:pPr>
          </w:p>
        </w:tc>
        <w:tc>
          <w:tcPr>
            <w:tcW w:w="1051" w:type="dxa"/>
            <w:vMerge w:val="continue"/>
            <w:vAlign w:val="center"/>
          </w:tcPr>
          <w:p w14:paraId="10F40326">
            <w:pPr>
              <w:widowControl/>
              <w:spacing w:line="360" w:lineRule="auto"/>
              <w:ind w:firstLine="120" w:firstLineChars="50"/>
              <w:rPr>
                <w:rFonts w:ascii="宋体" w:hAnsi="宋体" w:cs="宋体"/>
                <w:sz w:val="24"/>
              </w:rPr>
            </w:pPr>
          </w:p>
        </w:tc>
        <w:tc>
          <w:tcPr>
            <w:tcW w:w="948" w:type="dxa"/>
            <w:vAlign w:val="center"/>
          </w:tcPr>
          <w:p w14:paraId="7C2986C4">
            <w:pPr>
              <w:pStyle w:val="7"/>
              <w:spacing w:line="360" w:lineRule="auto"/>
              <w:ind w:firstLine="0" w:firstLineChars="0"/>
              <w:jc w:val="center"/>
              <w:rPr>
                <w:rFonts w:ascii="宋体" w:hAnsi="宋体" w:cs="宋体"/>
              </w:rPr>
            </w:pPr>
            <w:r>
              <w:rPr>
                <w:rFonts w:hint="eastAsia" w:ascii="宋体" w:hAnsi="宋体" w:cs="宋体"/>
              </w:rPr>
              <w:t>6.2</w:t>
            </w:r>
          </w:p>
        </w:tc>
        <w:tc>
          <w:tcPr>
            <w:tcW w:w="6377" w:type="dxa"/>
          </w:tcPr>
          <w:p w14:paraId="602415B9">
            <w:pPr>
              <w:spacing w:line="360" w:lineRule="auto"/>
              <w:rPr>
                <w:rFonts w:ascii="宋体" w:hAnsi="宋体"/>
                <w:sz w:val="24"/>
              </w:rPr>
            </w:pPr>
            <w:r>
              <w:rPr>
                <w:rFonts w:hint="eastAsia" w:ascii="宋体" w:hAnsi="宋体"/>
                <w:sz w:val="24"/>
              </w:rPr>
              <w:t>抛光头机需预留不少于1路供电接口（220V/50Hz 10A），用于给抛光头驱动电源总成模块供电；</w:t>
            </w:r>
          </w:p>
        </w:tc>
      </w:tr>
      <w:tr w14:paraId="2010A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3" w:hRule="atLeast"/>
          <w:jc w:val="center"/>
        </w:trPr>
        <w:tc>
          <w:tcPr>
            <w:tcW w:w="608" w:type="dxa"/>
            <w:vMerge w:val="continue"/>
            <w:vAlign w:val="center"/>
          </w:tcPr>
          <w:p w14:paraId="492E8523">
            <w:pPr>
              <w:widowControl/>
              <w:spacing w:line="360" w:lineRule="auto"/>
              <w:jc w:val="center"/>
              <w:rPr>
                <w:rFonts w:ascii="宋体" w:hAnsi="宋体" w:cs="宋体"/>
                <w:sz w:val="24"/>
              </w:rPr>
            </w:pPr>
          </w:p>
        </w:tc>
        <w:tc>
          <w:tcPr>
            <w:tcW w:w="1051" w:type="dxa"/>
            <w:vMerge w:val="continue"/>
            <w:vAlign w:val="center"/>
          </w:tcPr>
          <w:p w14:paraId="18B658EC">
            <w:pPr>
              <w:widowControl/>
              <w:spacing w:line="360" w:lineRule="auto"/>
              <w:ind w:firstLine="120" w:firstLineChars="50"/>
              <w:rPr>
                <w:rFonts w:ascii="宋体" w:hAnsi="宋体" w:cs="宋体"/>
                <w:sz w:val="24"/>
              </w:rPr>
            </w:pPr>
          </w:p>
        </w:tc>
        <w:tc>
          <w:tcPr>
            <w:tcW w:w="948" w:type="dxa"/>
            <w:vAlign w:val="center"/>
          </w:tcPr>
          <w:p w14:paraId="267E1AF8">
            <w:pPr>
              <w:pStyle w:val="7"/>
              <w:spacing w:line="360" w:lineRule="auto"/>
              <w:ind w:firstLine="0" w:firstLineChars="0"/>
              <w:jc w:val="center"/>
              <w:rPr>
                <w:rFonts w:ascii="宋体" w:hAnsi="宋体" w:cs="宋体"/>
              </w:rPr>
            </w:pPr>
            <w:r>
              <w:rPr>
                <w:rFonts w:hint="eastAsia" w:ascii="宋体" w:hAnsi="宋体" w:cs="宋体"/>
              </w:rPr>
              <w:t>6.3</w:t>
            </w:r>
          </w:p>
        </w:tc>
        <w:tc>
          <w:tcPr>
            <w:tcW w:w="6377" w:type="dxa"/>
          </w:tcPr>
          <w:p w14:paraId="4EDD6FA3">
            <w:pPr>
              <w:spacing w:line="360" w:lineRule="auto"/>
              <w:rPr>
                <w:rFonts w:ascii="宋体" w:hAnsi="宋体"/>
                <w:sz w:val="24"/>
              </w:rPr>
            </w:pPr>
            <w:r>
              <w:rPr>
                <w:rFonts w:hint="eastAsia" w:ascii="宋体" w:hAnsi="宋体"/>
                <w:sz w:val="24"/>
              </w:rPr>
              <w:t>抛光头上预留驱动电源总成模块固定接口；</w:t>
            </w:r>
          </w:p>
        </w:tc>
      </w:tr>
      <w:tr w14:paraId="18E1B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3" w:hRule="atLeast"/>
          <w:jc w:val="center"/>
        </w:trPr>
        <w:tc>
          <w:tcPr>
            <w:tcW w:w="608" w:type="dxa"/>
            <w:vMerge w:val="continue"/>
            <w:vAlign w:val="center"/>
          </w:tcPr>
          <w:p w14:paraId="3AFDD9B6">
            <w:pPr>
              <w:widowControl/>
              <w:spacing w:line="360" w:lineRule="auto"/>
              <w:jc w:val="center"/>
              <w:rPr>
                <w:rFonts w:ascii="宋体" w:hAnsi="宋体" w:cs="宋体"/>
                <w:sz w:val="24"/>
              </w:rPr>
            </w:pPr>
          </w:p>
        </w:tc>
        <w:tc>
          <w:tcPr>
            <w:tcW w:w="1051" w:type="dxa"/>
            <w:vMerge w:val="continue"/>
            <w:vAlign w:val="center"/>
          </w:tcPr>
          <w:p w14:paraId="3795F03D">
            <w:pPr>
              <w:widowControl/>
              <w:spacing w:line="360" w:lineRule="auto"/>
              <w:ind w:firstLine="120" w:firstLineChars="50"/>
              <w:rPr>
                <w:rFonts w:ascii="宋体" w:hAnsi="宋体" w:cs="宋体"/>
                <w:sz w:val="24"/>
              </w:rPr>
            </w:pPr>
          </w:p>
        </w:tc>
        <w:tc>
          <w:tcPr>
            <w:tcW w:w="7325" w:type="dxa"/>
            <w:gridSpan w:val="2"/>
            <w:vAlign w:val="center"/>
          </w:tcPr>
          <w:p w14:paraId="0E2E14D4">
            <w:pPr>
              <w:spacing w:line="360" w:lineRule="auto"/>
              <w:rPr>
                <w:rFonts w:ascii="宋体" w:hAnsi="宋体"/>
                <w:sz w:val="24"/>
              </w:rPr>
            </w:pPr>
            <w:r>
              <w:rPr>
                <w:rFonts w:hint="eastAsia" w:ascii="宋体" w:hAnsi="宋体" w:cs="宋体"/>
              </w:rPr>
              <w:t>★</w:t>
            </w:r>
            <w:r>
              <w:rPr>
                <w:rFonts w:hint="eastAsia" w:ascii="宋体" w:hAnsi="宋体"/>
                <w:b/>
                <w:sz w:val="24"/>
              </w:rPr>
              <w:t>七、随机文件</w:t>
            </w:r>
          </w:p>
        </w:tc>
      </w:tr>
      <w:tr w14:paraId="6E795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3" w:hRule="atLeast"/>
          <w:jc w:val="center"/>
        </w:trPr>
        <w:tc>
          <w:tcPr>
            <w:tcW w:w="608" w:type="dxa"/>
            <w:vMerge w:val="continue"/>
            <w:vAlign w:val="center"/>
          </w:tcPr>
          <w:p w14:paraId="25A1AF9D">
            <w:pPr>
              <w:widowControl/>
              <w:spacing w:line="360" w:lineRule="auto"/>
              <w:jc w:val="center"/>
              <w:rPr>
                <w:rFonts w:ascii="宋体" w:hAnsi="宋体" w:cs="宋体"/>
                <w:sz w:val="24"/>
              </w:rPr>
            </w:pPr>
          </w:p>
        </w:tc>
        <w:tc>
          <w:tcPr>
            <w:tcW w:w="1051" w:type="dxa"/>
            <w:vMerge w:val="continue"/>
            <w:vAlign w:val="center"/>
          </w:tcPr>
          <w:p w14:paraId="46DADD78">
            <w:pPr>
              <w:widowControl/>
              <w:spacing w:line="360" w:lineRule="auto"/>
              <w:ind w:firstLine="120" w:firstLineChars="50"/>
              <w:rPr>
                <w:rFonts w:ascii="宋体" w:hAnsi="宋体" w:cs="宋体"/>
                <w:sz w:val="24"/>
              </w:rPr>
            </w:pPr>
          </w:p>
        </w:tc>
        <w:tc>
          <w:tcPr>
            <w:tcW w:w="948" w:type="dxa"/>
            <w:vAlign w:val="center"/>
          </w:tcPr>
          <w:p w14:paraId="556F30B7">
            <w:pPr>
              <w:pStyle w:val="7"/>
              <w:spacing w:line="360" w:lineRule="auto"/>
              <w:ind w:left="440" w:firstLine="0" w:firstLineChars="0"/>
              <w:rPr>
                <w:rFonts w:ascii="宋体" w:hAnsi="宋体" w:cs="宋体"/>
              </w:rPr>
            </w:pPr>
          </w:p>
        </w:tc>
        <w:tc>
          <w:tcPr>
            <w:tcW w:w="6377" w:type="dxa"/>
          </w:tcPr>
          <w:p w14:paraId="25ACBA71">
            <w:pPr>
              <w:spacing w:line="360" w:lineRule="auto"/>
              <w:rPr>
                <w:rFonts w:ascii="宋体" w:hAnsi="宋体"/>
                <w:sz w:val="24"/>
              </w:rPr>
            </w:pPr>
            <w:r>
              <w:rPr>
                <w:rFonts w:hint="eastAsia" w:ascii="宋体" w:hAnsi="宋体"/>
                <w:sz w:val="24"/>
              </w:rPr>
              <w:t>至少包含产品合格证1份，产品说明书（包含设备说明书、电气说明书、备件清单、维护说明书、操作说明书），保修卡1张，出厂检测报告，软件终身授权书，操作手册（纸质及电子各1份），保养维护手册（纸质及电子各1份）</w:t>
            </w:r>
          </w:p>
        </w:tc>
      </w:tr>
    </w:tbl>
    <w:p w14:paraId="3F58FD3E">
      <w:pPr>
        <w:pStyle w:val="3"/>
      </w:pPr>
    </w:p>
    <w:p w14:paraId="473793D5">
      <w:pPr>
        <w:ind w:left="525" w:firstLine="241"/>
        <w:jc w:val="left"/>
        <w:rPr>
          <w:rFonts w:ascii="Times New Roman" w:hAnsi="Times New Roman" w:eastAsia="宋体" w:cs="Times New Roman"/>
          <w:b/>
          <w:bCs/>
          <w:sz w:val="24"/>
          <w:szCs w:val="24"/>
        </w:rPr>
      </w:pPr>
    </w:p>
    <w:p w14:paraId="3311C32A">
      <w:pPr>
        <w:ind w:left="525" w:firstLine="241"/>
        <w:jc w:val="left"/>
        <w:rPr>
          <w:rFonts w:ascii="Times New Roman" w:hAnsi="Times New Roman" w:eastAsia="宋体" w:cs="Times New Roman"/>
          <w:b/>
          <w:bCs/>
          <w:sz w:val="24"/>
          <w:szCs w:val="24"/>
        </w:rPr>
      </w:pPr>
    </w:p>
    <w:p w14:paraId="7E71A16C">
      <w:pPr>
        <w:ind w:firstLine="241"/>
        <w:jc w:val="left"/>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注：以上标记“</w:t>
      </w:r>
      <w:r>
        <w:rPr>
          <w:rFonts w:hint="eastAsia" w:ascii="宋体" w:hAnsi="宋体" w:eastAsia="宋体" w:cs="Times New Roman"/>
          <w:b/>
          <w:sz w:val="24"/>
          <w:szCs w:val="24"/>
        </w:rPr>
        <w:t>★</w:t>
      </w:r>
      <w:r>
        <w:rPr>
          <w:rFonts w:hint="eastAsia" w:ascii="Times New Roman" w:hAnsi="Times New Roman" w:eastAsia="宋体" w:cs="Times New Roman"/>
          <w:b/>
          <w:bCs/>
          <w:sz w:val="24"/>
          <w:szCs w:val="24"/>
        </w:rPr>
        <w:t>”为本次招标项目的实质性要求，负偏离视为投标文件无效。</w:t>
      </w:r>
    </w:p>
    <w:p w14:paraId="684AA40B">
      <w:pPr>
        <w:pStyle w:val="4"/>
        <w:ind w:firstLine="0" w:firstLineChars="0"/>
      </w:pPr>
    </w:p>
    <w:p w14:paraId="128424EC">
      <w:pPr>
        <w:widowControl/>
        <w:snapToGrid w:val="0"/>
        <w:spacing w:before="156" w:beforeLines="50" w:line="360" w:lineRule="auto"/>
        <w:ind w:firstLine="301"/>
        <w:outlineLvl w:val="2"/>
        <w:rPr>
          <w:rFonts w:ascii="宋体" w:hAnsi="宋体"/>
          <w:b/>
          <w:sz w:val="30"/>
          <w:szCs w:val="30"/>
        </w:rPr>
      </w:pPr>
      <w:r>
        <w:rPr>
          <w:rFonts w:hint="eastAsia" w:ascii="宋体" w:hAnsi="宋体" w:eastAsia="宋体" w:cs="Times New Roman"/>
          <w:b/>
          <w:sz w:val="24"/>
          <w:szCs w:val="24"/>
        </w:rPr>
        <w:t>★</w:t>
      </w:r>
      <w:r>
        <w:rPr>
          <w:rFonts w:hint="eastAsia" w:ascii="宋体" w:hAnsi="宋体"/>
          <w:b/>
          <w:sz w:val="30"/>
          <w:szCs w:val="30"/>
        </w:rPr>
        <w:t>（二）商务要求：</w:t>
      </w:r>
    </w:p>
    <w:p w14:paraId="33CD5D67">
      <w:pPr>
        <w:widowControl/>
        <w:spacing w:before="156" w:beforeLines="50" w:line="360" w:lineRule="auto"/>
        <w:ind w:firstLine="241"/>
        <w:rPr>
          <w:rFonts w:ascii="宋体" w:hAnsi="宋体"/>
          <w:b/>
          <w:bCs/>
          <w:sz w:val="24"/>
        </w:rPr>
      </w:pPr>
      <w:r>
        <w:rPr>
          <w:rFonts w:hint="eastAsia" w:ascii="宋体" w:hAnsi="宋体"/>
          <w:b/>
          <w:bCs/>
          <w:sz w:val="24"/>
        </w:rPr>
        <w:t>1、质保和</w:t>
      </w:r>
      <w:r>
        <w:rPr>
          <w:rFonts w:ascii="宋体" w:hAnsi="宋体"/>
          <w:b/>
          <w:bCs/>
          <w:sz w:val="24"/>
        </w:rPr>
        <w:t>售后服务要求：</w:t>
      </w:r>
    </w:p>
    <w:p w14:paraId="68851900">
      <w:pPr>
        <w:snapToGrid w:val="0"/>
        <w:spacing w:line="360" w:lineRule="auto"/>
        <w:ind w:firstLine="241"/>
        <w:rPr>
          <w:rFonts w:ascii="宋体" w:hAnsi="宋体"/>
          <w:sz w:val="24"/>
        </w:rPr>
      </w:pPr>
      <w:r>
        <w:rPr>
          <w:rFonts w:hint="eastAsia" w:ascii="宋体" w:hAnsi="宋体"/>
          <w:sz w:val="24"/>
        </w:rPr>
        <w:t>1</w:t>
      </w:r>
      <w:r>
        <w:rPr>
          <w:rFonts w:ascii="宋体" w:hAnsi="宋体"/>
          <w:sz w:val="24"/>
        </w:rPr>
        <w:t>.1</w:t>
      </w:r>
      <w:r>
        <w:rPr>
          <w:rFonts w:hint="eastAsia" w:ascii="宋体" w:hAnsi="宋体"/>
          <w:sz w:val="24"/>
        </w:rPr>
        <w:t>中标方负责</w:t>
      </w:r>
      <w:r>
        <w:rPr>
          <w:rFonts w:ascii="宋体" w:hAnsi="宋体"/>
          <w:sz w:val="24"/>
        </w:rPr>
        <w:t>设备的安装、调试及</w:t>
      </w:r>
      <w:r>
        <w:rPr>
          <w:rFonts w:hint="eastAsia" w:ascii="宋体" w:hAnsi="宋体"/>
          <w:sz w:val="24"/>
        </w:rPr>
        <w:t>试</w:t>
      </w:r>
      <w:r>
        <w:rPr>
          <w:rFonts w:ascii="宋体" w:hAnsi="宋体"/>
          <w:sz w:val="24"/>
        </w:rPr>
        <w:t>运行</w:t>
      </w:r>
      <w:r>
        <w:rPr>
          <w:rFonts w:hint="eastAsia" w:ascii="宋体" w:hAnsi="宋体"/>
          <w:sz w:val="24"/>
        </w:rPr>
        <w:t>。</w:t>
      </w:r>
    </w:p>
    <w:p w14:paraId="551CF402">
      <w:pPr>
        <w:snapToGrid w:val="0"/>
        <w:spacing w:line="360" w:lineRule="auto"/>
        <w:ind w:firstLine="241"/>
        <w:rPr>
          <w:rFonts w:ascii="宋体" w:hAnsi="宋体"/>
          <w:sz w:val="24"/>
        </w:rPr>
      </w:pPr>
      <w:r>
        <w:rPr>
          <w:rFonts w:hint="eastAsia" w:ascii="宋体" w:hAnsi="宋体"/>
          <w:sz w:val="24"/>
        </w:rPr>
        <w:t>1</w:t>
      </w:r>
      <w:r>
        <w:rPr>
          <w:rFonts w:ascii="宋体" w:hAnsi="宋体"/>
          <w:sz w:val="24"/>
        </w:rPr>
        <w:t>.2</w:t>
      </w:r>
      <w:r>
        <w:rPr>
          <w:rFonts w:hint="eastAsia" w:ascii="宋体" w:hAnsi="宋体"/>
          <w:sz w:val="24"/>
        </w:rPr>
        <w:t>安装</w:t>
      </w:r>
      <w:r>
        <w:rPr>
          <w:rFonts w:ascii="宋体" w:hAnsi="宋体"/>
          <w:sz w:val="24"/>
        </w:rPr>
        <w:t>、调试、检验及技术服务费用分项报价并计入投标总价</w:t>
      </w:r>
      <w:r>
        <w:rPr>
          <w:rFonts w:hint="eastAsia" w:ascii="宋体" w:hAnsi="宋体"/>
          <w:sz w:val="24"/>
        </w:rPr>
        <w:t>。</w:t>
      </w:r>
    </w:p>
    <w:p w14:paraId="52C9D6DA">
      <w:pPr>
        <w:snapToGrid w:val="0"/>
        <w:spacing w:line="360" w:lineRule="auto"/>
        <w:ind w:firstLine="240" w:firstLineChars="100"/>
        <w:rPr>
          <w:rFonts w:ascii="宋体" w:hAnsi="宋体"/>
          <w:sz w:val="24"/>
        </w:rPr>
      </w:pPr>
      <w:r>
        <w:rPr>
          <w:rFonts w:hint="eastAsia" w:ascii="宋体" w:hAnsi="宋体"/>
          <w:sz w:val="24"/>
        </w:rPr>
        <w:t>1</w:t>
      </w:r>
      <w:r>
        <w:rPr>
          <w:rFonts w:ascii="宋体" w:hAnsi="宋体"/>
          <w:sz w:val="24"/>
        </w:rPr>
        <w:t>.3</w:t>
      </w:r>
      <w:r>
        <w:rPr>
          <w:rFonts w:hint="eastAsia" w:ascii="宋体" w:hAnsi="宋体"/>
          <w:b/>
          <w:bCs/>
          <w:sz w:val="24"/>
          <w:highlight w:val="none"/>
        </w:rPr>
        <w:t>质量</w:t>
      </w:r>
      <w:r>
        <w:rPr>
          <w:rFonts w:ascii="宋体" w:hAnsi="宋体"/>
          <w:b/>
          <w:bCs/>
          <w:sz w:val="24"/>
          <w:highlight w:val="none"/>
        </w:rPr>
        <w:t>保证期为</w:t>
      </w:r>
      <w:r>
        <w:rPr>
          <w:rFonts w:hint="eastAsia" w:ascii="宋体" w:hAnsi="宋体"/>
          <w:b/>
          <w:bCs/>
          <w:sz w:val="24"/>
          <w:highlight w:val="none"/>
        </w:rPr>
        <w:t>2</w:t>
      </w:r>
      <w:r>
        <w:rPr>
          <w:rFonts w:ascii="宋体" w:hAnsi="宋体"/>
          <w:b/>
          <w:bCs/>
          <w:sz w:val="24"/>
          <w:highlight w:val="none"/>
        </w:rPr>
        <w:t>年</w:t>
      </w:r>
      <w:r>
        <w:rPr>
          <w:rFonts w:ascii="宋体" w:hAnsi="宋体"/>
          <w:sz w:val="24"/>
          <w:highlight w:val="none"/>
        </w:rPr>
        <w:t>，</w:t>
      </w:r>
      <w:r>
        <w:rPr>
          <w:rFonts w:hint="eastAsia" w:ascii="宋体" w:hAnsi="宋体"/>
          <w:sz w:val="24"/>
          <w:highlight w:val="none"/>
        </w:rPr>
        <w:t>质保期</w:t>
      </w:r>
      <w:r>
        <w:rPr>
          <w:rFonts w:ascii="宋体" w:hAnsi="宋体"/>
          <w:sz w:val="24"/>
          <w:highlight w:val="none"/>
        </w:rPr>
        <w:t>内免费保修并且服务应及时有效。设备发</w:t>
      </w:r>
      <w:r>
        <w:rPr>
          <w:rFonts w:ascii="宋体" w:hAnsi="宋体"/>
          <w:sz w:val="24"/>
        </w:rPr>
        <w:t>生故障后，</w:t>
      </w:r>
      <w:r>
        <w:rPr>
          <w:rFonts w:hint="eastAsia" w:ascii="宋体" w:hAnsi="宋体"/>
          <w:sz w:val="24"/>
        </w:rPr>
        <w:t>中标方应2个小时内做出维修方案决定；如5小时内无法电话解决问题，维修人员必须在48小时内到达现场，明确故障后，非大型配件在72小时内到场，大型配件在</w:t>
      </w:r>
      <w:r>
        <w:rPr>
          <w:rFonts w:ascii="宋体" w:hAnsi="宋体"/>
          <w:sz w:val="24"/>
        </w:rPr>
        <w:t>120小时</w:t>
      </w:r>
      <w:r>
        <w:rPr>
          <w:rFonts w:hint="eastAsia" w:ascii="宋体" w:hAnsi="宋体"/>
          <w:sz w:val="24"/>
        </w:rPr>
        <w:t>内到达现场。</w:t>
      </w:r>
    </w:p>
    <w:p w14:paraId="24445924">
      <w:pPr>
        <w:snapToGrid w:val="0"/>
        <w:spacing w:line="360" w:lineRule="auto"/>
        <w:ind w:firstLine="241"/>
        <w:rPr>
          <w:rFonts w:ascii="宋体" w:hAnsi="宋体"/>
          <w:sz w:val="24"/>
        </w:rPr>
      </w:pPr>
      <w:r>
        <w:rPr>
          <w:rFonts w:hint="eastAsia" w:ascii="宋体" w:hAnsi="宋体"/>
          <w:sz w:val="24"/>
        </w:rPr>
        <w:t>1</w:t>
      </w:r>
      <w:r>
        <w:rPr>
          <w:rFonts w:ascii="宋体" w:hAnsi="宋体"/>
          <w:sz w:val="24"/>
        </w:rPr>
        <w:t>.4</w:t>
      </w:r>
      <w:r>
        <w:rPr>
          <w:rFonts w:hint="eastAsia" w:ascii="宋体" w:hAnsi="宋体"/>
          <w:sz w:val="24"/>
        </w:rPr>
        <w:t>质量保证期后，服务响应时间相同。中标方应向招标人就所售设备终身提供广泛而优惠的技术服务和备品备件供应。</w:t>
      </w:r>
    </w:p>
    <w:p w14:paraId="6D1C7BCA">
      <w:pPr>
        <w:snapToGrid w:val="0"/>
        <w:spacing w:line="360" w:lineRule="auto"/>
        <w:ind w:firstLine="241"/>
        <w:rPr>
          <w:rFonts w:ascii="宋体" w:hAnsi="宋体"/>
          <w:sz w:val="24"/>
        </w:rPr>
      </w:pPr>
      <w:r>
        <w:rPr>
          <w:rFonts w:hint="eastAsia" w:ascii="宋体" w:hAnsi="宋体"/>
          <w:sz w:val="24"/>
        </w:rPr>
        <w:t>1.5以</w:t>
      </w:r>
      <w:r>
        <w:rPr>
          <w:rFonts w:ascii="宋体" w:hAnsi="宋体"/>
          <w:sz w:val="24"/>
        </w:rPr>
        <w:t>适合</w:t>
      </w:r>
      <w:r>
        <w:rPr>
          <w:rFonts w:hint="eastAsia" w:ascii="宋体" w:hAnsi="宋体"/>
          <w:sz w:val="24"/>
        </w:rPr>
        <w:t>铁路/航空/陆路</w:t>
      </w:r>
      <w:r>
        <w:rPr>
          <w:rFonts w:ascii="宋体" w:hAnsi="宋体"/>
          <w:sz w:val="24"/>
        </w:rPr>
        <w:t>运输及气候变化的坚固木箱或集装箱包装，这类包装应采用防潮、防晒、防锈、防</w:t>
      </w:r>
      <w:r>
        <w:rPr>
          <w:rFonts w:hint="eastAsia" w:ascii="宋体" w:hAnsi="宋体"/>
          <w:sz w:val="24"/>
        </w:rPr>
        <w:t>腐蚀</w:t>
      </w:r>
      <w:r>
        <w:rPr>
          <w:rFonts w:ascii="宋体" w:hAnsi="宋体"/>
          <w:sz w:val="24"/>
        </w:rPr>
        <w:t>、防震动及防止其它损坏的必要</w:t>
      </w:r>
      <w:r>
        <w:rPr>
          <w:rFonts w:hint="eastAsia" w:ascii="宋体" w:hAnsi="宋体"/>
          <w:sz w:val="24"/>
        </w:rPr>
        <w:t>保护</w:t>
      </w:r>
      <w:r>
        <w:rPr>
          <w:rFonts w:ascii="宋体" w:hAnsi="宋体"/>
          <w:sz w:val="24"/>
        </w:rPr>
        <w:t>措施，从而保护货物能够经受多次搬运、装卸及内陆的长途运输。</w:t>
      </w:r>
      <w:r>
        <w:rPr>
          <w:rFonts w:hint="eastAsia" w:ascii="宋体" w:hAnsi="宋体"/>
          <w:sz w:val="24"/>
        </w:rPr>
        <w:t>中标方应</w:t>
      </w:r>
      <w:r>
        <w:rPr>
          <w:rFonts w:ascii="宋体" w:hAnsi="宋体"/>
          <w:sz w:val="24"/>
        </w:rPr>
        <w:t>承担由于其包装或其防护措施不妥而引起货物锈蚀、损坏和丢失的任何损失的责任或费用</w:t>
      </w:r>
      <w:r>
        <w:rPr>
          <w:rFonts w:hint="eastAsia" w:ascii="宋体" w:hAnsi="宋体"/>
          <w:sz w:val="24"/>
        </w:rPr>
        <w:t>。</w:t>
      </w:r>
    </w:p>
    <w:p w14:paraId="78C5D9AF">
      <w:pPr>
        <w:spacing w:line="360" w:lineRule="auto"/>
        <w:ind w:firstLine="241"/>
        <w:rPr>
          <w:rFonts w:ascii="宋体" w:hAnsi="宋体"/>
          <w:bCs/>
          <w:sz w:val="24"/>
        </w:rPr>
      </w:pPr>
      <w:r>
        <w:rPr>
          <w:rFonts w:hint="eastAsia" w:ascii="宋体" w:hAnsi="宋体"/>
          <w:sz w:val="24"/>
        </w:rPr>
        <w:t>1.6包装</w:t>
      </w:r>
      <w:r>
        <w:rPr>
          <w:rFonts w:ascii="宋体" w:hAnsi="宋体"/>
          <w:sz w:val="24"/>
        </w:rPr>
        <w:t>箱内</w:t>
      </w:r>
      <w:r>
        <w:rPr>
          <w:rFonts w:hint="eastAsia" w:ascii="宋体" w:hAnsi="宋体"/>
          <w:sz w:val="24"/>
        </w:rPr>
        <w:t>和</w:t>
      </w:r>
      <w:r>
        <w:rPr>
          <w:rFonts w:ascii="宋体" w:hAnsi="宋体"/>
          <w:sz w:val="24"/>
        </w:rPr>
        <w:t>包装箱外应分别放置装箱单和质量凭证书各一份</w:t>
      </w:r>
      <w:r>
        <w:rPr>
          <w:rFonts w:hint="eastAsia" w:ascii="宋体" w:hAnsi="宋体"/>
          <w:sz w:val="24"/>
        </w:rPr>
        <w:t>。</w:t>
      </w:r>
    </w:p>
    <w:p w14:paraId="593CFE97">
      <w:pPr>
        <w:pStyle w:val="4"/>
        <w:ind w:firstLine="0" w:firstLineChars="0"/>
      </w:pPr>
    </w:p>
    <w:p w14:paraId="13FFD5FA">
      <w:pPr>
        <w:widowControl/>
        <w:tabs>
          <w:tab w:val="left" w:pos="900"/>
        </w:tabs>
        <w:spacing w:line="360" w:lineRule="auto"/>
        <w:ind w:firstLine="241"/>
        <w:jc w:val="left"/>
        <w:rPr>
          <w:rFonts w:ascii="宋体" w:hAnsi="宋体" w:cs="宋体"/>
          <w:b/>
          <w:bCs/>
          <w:kern w:val="0"/>
          <w:sz w:val="24"/>
        </w:rPr>
      </w:pPr>
      <w:r>
        <w:rPr>
          <w:rFonts w:hint="eastAsia" w:ascii="宋体" w:hAnsi="宋体" w:cs="宋体"/>
          <w:b/>
          <w:bCs/>
          <w:kern w:val="0"/>
          <w:sz w:val="24"/>
        </w:rPr>
        <w:t>2</w:t>
      </w:r>
      <w:r>
        <w:rPr>
          <w:rFonts w:ascii="宋体" w:hAnsi="宋体" w:cs="宋体"/>
          <w:b/>
          <w:bCs/>
          <w:kern w:val="0"/>
          <w:sz w:val="24"/>
        </w:rPr>
        <w:t>.</w:t>
      </w:r>
      <w:r>
        <w:rPr>
          <w:rFonts w:hint="eastAsia" w:ascii="宋体" w:hAnsi="宋体" w:cs="宋体"/>
          <w:b/>
          <w:bCs/>
          <w:kern w:val="0"/>
          <w:sz w:val="24"/>
        </w:rPr>
        <w:t>报价要求：</w:t>
      </w:r>
    </w:p>
    <w:p w14:paraId="58C0999B">
      <w:pPr>
        <w:adjustRightInd w:val="0"/>
        <w:snapToGrid w:val="0"/>
        <w:spacing w:before="156" w:beforeLines="50" w:line="360" w:lineRule="auto"/>
        <w:ind w:left="65" w:leftChars="31" w:right="136" w:rightChars="65"/>
        <w:rPr>
          <w:rFonts w:ascii="Times New Roman" w:hAnsi="Times New Roman" w:eastAsia="宋体" w:cs="Times New Roman"/>
          <w:bCs/>
          <w:kern w:val="0"/>
          <w:sz w:val="24"/>
          <w:szCs w:val="24"/>
        </w:rPr>
      </w:pPr>
      <w:r>
        <w:rPr>
          <w:rFonts w:hint="eastAsia" w:ascii="Times New Roman" w:hAnsi="Times New Roman" w:eastAsia="宋体" w:cs="Times New Roman"/>
          <w:bCs/>
          <w:kern w:val="0"/>
          <w:sz w:val="24"/>
          <w:szCs w:val="24"/>
        </w:rPr>
        <w:t>（</w:t>
      </w:r>
      <w:r>
        <w:rPr>
          <w:rFonts w:ascii="Times New Roman" w:hAnsi="Times New Roman" w:eastAsia="宋体" w:cs="Times New Roman"/>
          <w:bCs/>
          <w:kern w:val="0"/>
          <w:sz w:val="24"/>
          <w:szCs w:val="24"/>
        </w:rPr>
        <w:t>1</w:t>
      </w:r>
      <w:r>
        <w:rPr>
          <w:rFonts w:hint="eastAsia" w:ascii="Times New Roman" w:hAnsi="Times New Roman" w:eastAsia="宋体" w:cs="Times New Roman"/>
          <w:bCs/>
          <w:kern w:val="0"/>
          <w:sz w:val="24"/>
          <w:szCs w:val="24"/>
        </w:rPr>
        <w:t>）本项目不允许进口产品投标；</w:t>
      </w:r>
    </w:p>
    <w:p w14:paraId="6FD1BB94">
      <w:pPr>
        <w:adjustRightInd w:val="0"/>
        <w:snapToGrid w:val="0"/>
        <w:spacing w:before="156" w:beforeLines="50" w:line="360" w:lineRule="auto"/>
        <w:ind w:left="65" w:leftChars="31" w:right="136" w:rightChars="65"/>
        <w:rPr>
          <w:rFonts w:ascii="Times New Roman" w:hAnsi="Times New Roman" w:eastAsia="宋体" w:cs="Times New Roman"/>
          <w:bCs/>
          <w:kern w:val="0"/>
          <w:sz w:val="24"/>
          <w:szCs w:val="24"/>
        </w:rPr>
      </w:pPr>
      <w:r>
        <w:rPr>
          <w:rFonts w:hint="eastAsia" w:ascii="Times New Roman" w:hAnsi="Times New Roman" w:eastAsia="宋体" w:cs="Times New Roman"/>
          <w:bCs/>
          <w:kern w:val="0"/>
          <w:sz w:val="24"/>
          <w:szCs w:val="24"/>
        </w:rPr>
        <w:t>（</w:t>
      </w:r>
      <w:r>
        <w:rPr>
          <w:rFonts w:ascii="Times New Roman" w:hAnsi="Times New Roman" w:eastAsia="宋体" w:cs="Times New Roman"/>
          <w:bCs/>
          <w:kern w:val="0"/>
          <w:sz w:val="24"/>
          <w:szCs w:val="24"/>
        </w:rPr>
        <w:t>2</w:t>
      </w:r>
      <w:r>
        <w:rPr>
          <w:rFonts w:hint="eastAsia" w:ascii="Times New Roman" w:hAnsi="Times New Roman" w:eastAsia="宋体" w:cs="Times New Roman"/>
          <w:bCs/>
          <w:kern w:val="0"/>
          <w:sz w:val="24"/>
          <w:szCs w:val="24"/>
        </w:rPr>
        <w:t>）投标报价：国产产品与服务报项目现场含税价（中国科学院光电技术研究所），含目的地至项目安装现场的装卸及搬运，报价应包括：</w:t>
      </w:r>
    </w:p>
    <w:p w14:paraId="5C1608A9">
      <w:pPr>
        <w:adjustRightInd w:val="0"/>
        <w:snapToGrid w:val="0"/>
        <w:spacing w:before="156" w:beforeLines="50" w:line="360" w:lineRule="auto"/>
        <w:ind w:left="65" w:leftChars="31" w:right="136" w:rightChars="65"/>
        <w:rPr>
          <w:rFonts w:ascii="Times New Roman" w:hAnsi="Times New Roman" w:eastAsia="宋体" w:cs="Times New Roman"/>
          <w:bCs/>
          <w:kern w:val="0"/>
          <w:sz w:val="24"/>
          <w:szCs w:val="24"/>
        </w:rPr>
      </w:pPr>
      <w:r>
        <w:rPr>
          <w:rFonts w:hint="eastAsia" w:ascii="Times New Roman" w:hAnsi="Times New Roman" w:eastAsia="宋体" w:cs="Times New Roman"/>
          <w:bCs/>
          <w:kern w:val="0"/>
          <w:sz w:val="24"/>
          <w:szCs w:val="24"/>
        </w:rPr>
        <w:t>设备出厂费用：</w:t>
      </w:r>
      <w:r>
        <w:rPr>
          <w:rFonts w:ascii="Times New Roman" w:hAnsi="Times New Roman" w:eastAsia="宋体" w:cs="Times New Roman"/>
          <w:bCs/>
          <w:kern w:val="0"/>
          <w:sz w:val="24"/>
          <w:szCs w:val="24"/>
        </w:rPr>
        <w:t>EXW</w:t>
      </w:r>
      <w:r>
        <w:rPr>
          <w:rFonts w:hint="eastAsia" w:ascii="Times New Roman" w:hAnsi="Times New Roman" w:eastAsia="宋体" w:cs="Times New Roman"/>
          <w:bCs/>
          <w:kern w:val="0"/>
          <w:sz w:val="24"/>
          <w:szCs w:val="24"/>
        </w:rPr>
        <w:t>（出厂价）、增值税和其它所有税费。</w:t>
      </w:r>
    </w:p>
    <w:p w14:paraId="54572AD0">
      <w:pPr>
        <w:adjustRightInd w:val="0"/>
        <w:snapToGrid w:val="0"/>
        <w:spacing w:before="156" w:beforeLines="50" w:line="360" w:lineRule="auto"/>
        <w:ind w:left="65" w:leftChars="31" w:right="136" w:rightChars="65"/>
        <w:rPr>
          <w:rFonts w:ascii="Times New Roman" w:hAnsi="Times New Roman" w:eastAsia="宋体" w:cs="Times New Roman"/>
          <w:bCs/>
          <w:kern w:val="0"/>
          <w:sz w:val="24"/>
          <w:szCs w:val="24"/>
        </w:rPr>
      </w:pPr>
      <w:r>
        <w:rPr>
          <w:rFonts w:hint="eastAsia" w:ascii="Times New Roman" w:hAnsi="Times New Roman" w:eastAsia="宋体" w:cs="Times New Roman"/>
          <w:bCs/>
          <w:kern w:val="0"/>
          <w:sz w:val="24"/>
          <w:szCs w:val="24"/>
        </w:rPr>
        <w:t>②相关费用：须包括运抵中国科学院光电技术研究所的内陆运输费、保险费和伴随货物交运的有关费用。</w:t>
      </w:r>
    </w:p>
    <w:p w14:paraId="2F124B39">
      <w:pPr>
        <w:adjustRightInd w:val="0"/>
        <w:snapToGrid w:val="0"/>
        <w:spacing w:before="156" w:beforeLines="50" w:line="360" w:lineRule="auto"/>
        <w:ind w:left="65" w:leftChars="31" w:right="136" w:rightChars="65"/>
        <w:rPr>
          <w:rFonts w:ascii="Times New Roman" w:hAnsi="Times New Roman" w:eastAsia="宋体" w:cs="Times New Roman"/>
          <w:bCs/>
          <w:kern w:val="0"/>
          <w:sz w:val="24"/>
          <w:szCs w:val="24"/>
        </w:rPr>
      </w:pPr>
      <w:r>
        <w:rPr>
          <w:rFonts w:hint="eastAsia" w:ascii="Times New Roman" w:hAnsi="Times New Roman" w:eastAsia="宋体" w:cs="Times New Roman"/>
          <w:bCs/>
          <w:kern w:val="0"/>
          <w:sz w:val="24"/>
          <w:szCs w:val="24"/>
        </w:rPr>
        <w:t>③其他伴随服务费用：安装、安装指导、调试、验收、培训等其他所有费用。</w:t>
      </w:r>
    </w:p>
    <w:p w14:paraId="1B7A6386">
      <w:pPr>
        <w:widowControl/>
        <w:tabs>
          <w:tab w:val="left" w:pos="900"/>
        </w:tabs>
        <w:spacing w:line="360" w:lineRule="auto"/>
        <w:ind w:left="525" w:firstLine="241"/>
        <w:jc w:val="left"/>
        <w:rPr>
          <w:rFonts w:ascii="宋体" w:hAnsi="宋体" w:cs="宋体"/>
          <w:b/>
          <w:bCs/>
          <w:kern w:val="0"/>
          <w:sz w:val="24"/>
        </w:rPr>
      </w:pPr>
    </w:p>
    <w:p w14:paraId="4148DA82">
      <w:pPr>
        <w:widowControl/>
        <w:tabs>
          <w:tab w:val="left" w:pos="900"/>
        </w:tabs>
        <w:spacing w:line="360" w:lineRule="auto"/>
        <w:ind w:left="525" w:firstLine="241"/>
        <w:jc w:val="left"/>
        <w:rPr>
          <w:rFonts w:ascii="宋体" w:hAnsi="宋体" w:cs="宋体"/>
          <w:b/>
          <w:bCs/>
          <w:kern w:val="0"/>
          <w:sz w:val="24"/>
        </w:rPr>
      </w:pPr>
    </w:p>
    <w:p w14:paraId="22F37263">
      <w:pPr>
        <w:widowControl/>
        <w:tabs>
          <w:tab w:val="left" w:pos="900"/>
        </w:tabs>
        <w:spacing w:line="360" w:lineRule="auto"/>
        <w:ind w:firstLine="241"/>
        <w:jc w:val="left"/>
        <w:rPr>
          <w:rFonts w:ascii="宋体" w:hAnsi="宋体" w:cs="宋体"/>
          <w:b/>
          <w:bCs/>
          <w:kern w:val="0"/>
          <w:sz w:val="24"/>
        </w:rPr>
      </w:pPr>
      <w:r>
        <w:rPr>
          <w:rFonts w:hint="eastAsia" w:ascii="宋体" w:hAnsi="宋体" w:cs="宋体"/>
          <w:b/>
          <w:bCs/>
          <w:kern w:val="0"/>
          <w:sz w:val="24"/>
        </w:rPr>
        <w:t>3、付款条件和比例：</w:t>
      </w:r>
    </w:p>
    <w:p w14:paraId="4187AE14">
      <w:pPr>
        <w:widowControl/>
        <w:numPr>
          <w:ilvl w:val="255"/>
          <w:numId w:val="0"/>
        </w:numPr>
        <w:adjustRightInd w:val="0"/>
        <w:snapToGrid w:val="0"/>
        <w:spacing w:line="360" w:lineRule="auto"/>
        <w:ind w:firstLine="480" w:firstLineChars="200"/>
        <w:jc w:val="left"/>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①双方合同签字盖章后，甲方在收到乙方支付合同金额5%的履约保证金（自主选择以支票、汇票、本票、保函等非现金形式缴纳或提交。履约保证金在中标人履行完成合同约定的权利义务事项并在质保期满后按原方式退还，</w:t>
      </w:r>
      <w:r>
        <w:rPr>
          <w:rFonts w:hint="eastAsia"/>
          <w:sz w:val="24"/>
        </w:rPr>
        <w:t>如</w:t>
      </w:r>
      <w:r>
        <w:rPr>
          <w:sz w:val="24"/>
        </w:rPr>
        <w:t>乙方提交的设备若出现质量问题或存在违约行为的情况下，</w:t>
      </w:r>
      <w:r>
        <w:rPr>
          <w:rFonts w:hint="eastAsia"/>
          <w:sz w:val="24"/>
        </w:rPr>
        <w:t>履约保证金不予退还</w:t>
      </w:r>
      <w:r>
        <w:rPr>
          <w:rFonts w:hint="eastAsia" w:ascii="宋体" w:hAnsi="宋体" w:cs="宋体"/>
          <w:sz w:val="24"/>
        </w:rPr>
        <w:t>。</w:t>
      </w:r>
      <w:r>
        <w:rPr>
          <w:rFonts w:hint="eastAsia" w:asciiTheme="minorEastAsia" w:hAnsiTheme="minorEastAsia" w:cstheme="minorEastAsia"/>
          <w:color w:val="000000"/>
          <w:kern w:val="0"/>
          <w:sz w:val="24"/>
          <w:szCs w:val="24"/>
        </w:rPr>
        <w:t>）及乙方开具的合同金额40%的增值税普通发票后，30个工作日内支付合同总金额的 40 %给乙方；</w:t>
      </w:r>
    </w:p>
    <w:p w14:paraId="5B5726B8">
      <w:pPr>
        <w:widowControl/>
        <w:spacing w:line="360" w:lineRule="auto"/>
        <w:jc w:val="left"/>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②在乙方现场通过甲方组织预验收后，甲方在收到乙方开具的合同金额30%的增值税普通发票后，凭预验收合格报告支付合同总金额的 30%；</w:t>
      </w:r>
    </w:p>
    <w:p w14:paraId="69B0F3DC">
      <w:pPr>
        <w:spacing w:line="360" w:lineRule="auto"/>
      </w:pPr>
      <w:r>
        <w:rPr>
          <w:rFonts w:hint="eastAsia" w:asciiTheme="minorEastAsia" w:hAnsiTheme="minorEastAsia" w:cstheme="minorEastAsia"/>
          <w:color w:val="000000"/>
          <w:kern w:val="0"/>
          <w:sz w:val="24"/>
          <w:szCs w:val="24"/>
        </w:rPr>
        <w:t>③在甲方现场完成安装调试，并通过甲方组织的终验收，甲方在收到乙方开具的合同金额30%的增值税普通发票后，凭终验收合格报告甲方向乙方支付合同总金额的 30%。</w:t>
      </w:r>
    </w:p>
    <w:p w14:paraId="5730AF0B">
      <w:pPr>
        <w:adjustRightInd w:val="0"/>
        <w:snapToGrid w:val="0"/>
        <w:spacing w:before="156" w:beforeLines="50" w:line="360" w:lineRule="auto"/>
        <w:rPr>
          <w:rFonts w:ascii="宋体" w:hAnsi="宋体" w:eastAsia="宋体" w:cs="Times New Roman"/>
          <w:color w:val="000000"/>
          <w:kern w:val="0"/>
          <w:sz w:val="24"/>
          <w:szCs w:val="24"/>
        </w:rPr>
      </w:pPr>
    </w:p>
    <w:p w14:paraId="7C1B2E7A">
      <w:pPr>
        <w:widowControl/>
        <w:ind w:left="458" w:firstLine="210"/>
        <w:jc w:val="left"/>
        <w:rPr>
          <w:rFonts w:cs="Times New Roman" w:asciiTheme="minorEastAsia" w:hAnsiTheme="minorEastAsia"/>
          <w:kern w:val="0"/>
          <w:szCs w:val="21"/>
        </w:rPr>
      </w:pPr>
    </w:p>
    <w:p w14:paraId="72BD7013">
      <w:pPr>
        <w:widowControl/>
        <w:spacing w:line="360" w:lineRule="auto"/>
        <w:rPr>
          <w:rFonts w:ascii="宋体" w:hAnsi="宋体" w:cs="宋体"/>
          <w:b/>
          <w:sz w:val="24"/>
        </w:rPr>
      </w:pPr>
      <w:r>
        <w:rPr>
          <w:rFonts w:hint="eastAsia" w:ascii="宋体" w:hAnsi="宋体" w:cs="宋体"/>
          <w:b/>
          <w:sz w:val="24"/>
        </w:rPr>
        <w:t>4.培训要求：</w:t>
      </w:r>
    </w:p>
    <w:p w14:paraId="68818FC5">
      <w:pPr>
        <w:widowControl/>
        <w:numPr>
          <w:ilvl w:val="0"/>
          <w:numId w:val="10"/>
        </w:numPr>
        <w:spacing w:before="156" w:beforeLines="50" w:line="360" w:lineRule="auto"/>
        <w:ind w:left="420"/>
        <w:jc w:val="left"/>
        <w:rPr>
          <w:rFonts w:ascii="宋体" w:hAnsi="宋体" w:cs="宋体"/>
          <w:sz w:val="24"/>
        </w:rPr>
      </w:pPr>
      <w:r>
        <w:rPr>
          <w:rFonts w:hint="eastAsia" w:ascii="宋体" w:hAnsi="宋体" w:cs="宋体"/>
          <w:sz w:val="24"/>
        </w:rPr>
        <w:t>为保证投标人所提供的仪器设备安全、可靠运行，便于采购人的运行维护，必须对采购人培训合格的维护和管理人员，至少三人，培训至少一天。</w:t>
      </w:r>
    </w:p>
    <w:p w14:paraId="4D7576F8">
      <w:pPr>
        <w:widowControl/>
        <w:numPr>
          <w:ilvl w:val="0"/>
          <w:numId w:val="10"/>
        </w:numPr>
        <w:spacing w:before="156" w:beforeLines="50" w:line="360" w:lineRule="auto"/>
        <w:ind w:left="420"/>
        <w:jc w:val="left"/>
        <w:rPr>
          <w:rFonts w:ascii="宋体" w:hAnsi="宋体" w:cs="宋体"/>
          <w:sz w:val="24"/>
        </w:rPr>
      </w:pPr>
      <w:r>
        <w:rPr>
          <w:rFonts w:hint="eastAsia" w:ascii="宋体" w:hAnsi="宋体" w:cs="宋体"/>
          <w:sz w:val="24"/>
        </w:rPr>
        <w:t>预验收前，投标人负责对采购人提供至少一次投标人工厂技术培训，以便工作人员在培训后能熟练地掌握系统的维护工作，并能及时排除大部分的系统障碍。</w:t>
      </w:r>
    </w:p>
    <w:p w14:paraId="2E61F258">
      <w:pPr>
        <w:widowControl/>
        <w:numPr>
          <w:ilvl w:val="0"/>
          <w:numId w:val="10"/>
        </w:numPr>
        <w:spacing w:before="156" w:beforeLines="50" w:line="360" w:lineRule="auto"/>
        <w:ind w:left="420"/>
        <w:jc w:val="left"/>
        <w:rPr>
          <w:rFonts w:ascii="宋体" w:hAnsi="宋体" w:cs="宋体"/>
          <w:sz w:val="24"/>
        </w:rPr>
      </w:pPr>
      <w:r>
        <w:rPr>
          <w:rFonts w:hint="eastAsia" w:ascii="宋体" w:hAnsi="宋体" w:cs="宋体"/>
          <w:sz w:val="24"/>
        </w:rPr>
        <w:t>至少一次厂家工程师到采购人现场免费培训；培训至采购人可以熟练操作为止。</w:t>
      </w:r>
    </w:p>
    <w:p w14:paraId="7E9AE32C">
      <w:pPr>
        <w:tabs>
          <w:tab w:val="left" w:pos="420"/>
        </w:tabs>
        <w:autoSpaceDE w:val="0"/>
        <w:autoSpaceDN w:val="0"/>
        <w:adjustRightInd w:val="0"/>
        <w:spacing w:line="360" w:lineRule="auto"/>
        <w:rPr>
          <w:rFonts w:ascii="宋体" w:hAnsi="宋体" w:cs="宋体"/>
          <w:b/>
          <w:bCs/>
          <w:kern w:val="0"/>
          <w:sz w:val="24"/>
          <w:lang w:val="zh-CN"/>
        </w:rPr>
      </w:pPr>
      <w:r>
        <w:rPr>
          <w:rFonts w:hint="eastAsia" w:ascii="宋体" w:hAnsi="宋体" w:cs="宋体"/>
          <w:b/>
          <w:bCs/>
          <w:kern w:val="0"/>
          <w:sz w:val="24"/>
          <w:lang w:val="zh-CN"/>
        </w:rPr>
        <w:t>5.  运输及包装方式的要求</w:t>
      </w:r>
    </w:p>
    <w:p w14:paraId="1709FA96">
      <w:pPr>
        <w:autoSpaceDE w:val="0"/>
        <w:autoSpaceDN w:val="0"/>
        <w:adjustRightInd w:val="0"/>
        <w:spacing w:line="360" w:lineRule="auto"/>
        <w:ind w:firstLine="480" w:firstLineChars="200"/>
        <w:rPr>
          <w:rFonts w:ascii="宋体" w:hAnsi="宋体" w:cs="宋体"/>
          <w:kern w:val="0"/>
          <w:sz w:val="24"/>
          <w:lang w:val="zh-CN"/>
        </w:rPr>
      </w:pPr>
      <w:r>
        <w:rPr>
          <w:rFonts w:hint="eastAsia" w:ascii="宋体" w:hAnsi="宋体" w:cs="宋体"/>
          <w:kern w:val="0"/>
          <w:sz w:val="24"/>
          <w:lang w:val="zh-CN"/>
        </w:rPr>
        <w:t>设备的包装、运输由投标人负责，应使用崭新坚固的包装（标准包装），适合于空运、或陆运等长途运输方式；适合气候变化；投标人应对任何由于不当包装或防护措施不利而导致的商品损坏、损失、费用增长等后果负责。</w:t>
      </w:r>
    </w:p>
    <w:p w14:paraId="74DEF9AC">
      <w:pPr>
        <w:tabs>
          <w:tab w:val="left" w:pos="420"/>
        </w:tabs>
        <w:autoSpaceDE w:val="0"/>
        <w:autoSpaceDN w:val="0"/>
        <w:adjustRightInd w:val="0"/>
        <w:spacing w:line="360" w:lineRule="auto"/>
        <w:rPr>
          <w:rFonts w:ascii="宋体" w:hAnsi="宋体" w:cs="宋体"/>
          <w:b/>
          <w:bCs/>
          <w:kern w:val="0"/>
          <w:sz w:val="24"/>
          <w:lang w:val="zh-CN"/>
        </w:rPr>
      </w:pPr>
      <w:r>
        <w:rPr>
          <w:rFonts w:hint="eastAsia" w:ascii="宋体" w:hAnsi="宋体" w:cs="宋体"/>
          <w:b/>
          <w:bCs/>
          <w:kern w:val="0"/>
          <w:sz w:val="24"/>
          <w:lang w:val="zh-CN"/>
        </w:rPr>
        <w:t>6.  安装、调试及验收：</w:t>
      </w:r>
    </w:p>
    <w:p w14:paraId="291D29A1">
      <w:pPr>
        <w:tabs>
          <w:tab w:val="left" w:pos="420"/>
        </w:tabs>
        <w:autoSpaceDE w:val="0"/>
        <w:autoSpaceDN w:val="0"/>
        <w:adjustRightInd w:val="0"/>
        <w:spacing w:line="360" w:lineRule="auto"/>
        <w:ind w:firstLine="480" w:firstLineChars="200"/>
        <w:rPr>
          <w:rFonts w:ascii="宋体" w:hAnsi="宋体" w:cs="宋体"/>
          <w:kern w:val="0"/>
          <w:sz w:val="24"/>
          <w:lang w:val="zh-CN"/>
        </w:rPr>
      </w:pPr>
      <w:r>
        <w:rPr>
          <w:rFonts w:hint="eastAsia" w:ascii="宋体" w:hAnsi="宋体" w:cs="宋体"/>
          <w:kern w:val="0"/>
          <w:sz w:val="24"/>
          <w:lang w:val="zh-CN"/>
        </w:rPr>
        <w:t>设备验收：设备验收分为预验收和终验收，预验收和终验收的内容将遵照招标人和投标中标方双方签订的技术协议和验收大纲执行。</w:t>
      </w:r>
    </w:p>
    <w:p w14:paraId="5ED2DFED">
      <w:pPr>
        <w:tabs>
          <w:tab w:val="left" w:pos="420"/>
        </w:tabs>
        <w:autoSpaceDE w:val="0"/>
        <w:autoSpaceDN w:val="0"/>
        <w:adjustRightInd w:val="0"/>
        <w:spacing w:line="360" w:lineRule="auto"/>
        <w:ind w:firstLine="480" w:firstLineChars="200"/>
        <w:rPr>
          <w:rFonts w:ascii="宋体" w:hAnsi="宋体" w:cs="宋体"/>
          <w:kern w:val="0"/>
          <w:sz w:val="24"/>
          <w:lang w:val="zh-CN"/>
        </w:rPr>
      </w:pPr>
      <w:r>
        <w:rPr>
          <w:rFonts w:hint="eastAsia" w:ascii="宋体" w:hAnsi="宋体" w:cs="宋体"/>
          <w:kern w:val="0"/>
          <w:sz w:val="24"/>
          <w:lang w:val="zh-CN"/>
        </w:rPr>
        <w:t>预验收要求：招标人到设备制造商工厂进行设备预验收和工厂培训，按《预验收检测大纲》中的技术要求对设备的硬件进行逐条检验，合格后方可包装、发运。《预验收检测大纲》在预验收前需双方签字认可。</w:t>
      </w:r>
    </w:p>
    <w:p w14:paraId="5AE56A27">
      <w:pPr>
        <w:tabs>
          <w:tab w:val="left" w:pos="420"/>
        </w:tabs>
        <w:autoSpaceDE w:val="0"/>
        <w:autoSpaceDN w:val="0"/>
        <w:adjustRightInd w:val="0"/>
        <w:spacing w:line="360" w:lineRule="auto"/>
        <w:ind w:firstLine="480" w:firstLineChars="200"/>
        <w:rPr>
          <w:rFonts w:ascii="宋体" w:hAnsi="宋体" w:cs="宋体"/>
          <w:kern w:val="0"/>
          <w:sz w:val="24"/>
          <w:lang w:val="zh-CN"/>
        </w:rPr>
      </w:pPr>
      <w:r>
        <w:rPr>
          <w:rFonts w:hint="eastAsia" w:ascii="宋体" w:hAnsi="宋体" w:cs="宋体"/>
          <w:kern w:val="0"/>
          <w:sz w:val="24"/>
          <w:lang w:val="zh-CN"/>
        </w:rPr>
        <w:t>终验收要求：</w:t>
      </w:r>
    </w:p>
    <w:p w14:paraId="2E2638F4">
      <w:pPr>
        <w:tabs>
          <w:tab w:val="left" w:pos="420"/>
        </w:tabs>
        <w:autoSpaceDE w:val="0"/>
        <w:autoSpaceDN w:val="0"/>
        <w:adjustRightInd w:val="0"/>
        <w:spacing w:line="360" w:lineRule="auto"/>
        <w:ind w:firstLine="480" w:firstLineChars="200"/>
        <w:rPr>
          <w:rFonts w:ascii="宋体" w:hAnsi="宋体" w:cs="宋体"/>
          <w:kern w:val="0"/>
          <w:sz w:val="24"/>
          <w:lang w:val="zh-CN"/>
        </w:rPr>
      </w:pPr>
      <w:r>
        <w:rPr>
          <w:rFonts w:hint="eastAsia" w:ascii="宋体" w:hAnsi="宋体" w:cs="宋体"/>
          <w:kern w:val="0"/>
          <w:sz w:val="24"/>
          <w:lang w:val="zh-CN"/>
        </w:rPr>
        <w:t>（1）合同签订后投标中标方严格按照合同技术指标条款制造设备，投标中标方应编制检测大纲（含检验项目、技术指标要求、检验方法及检验设备等），检验大纲应经招标人会签。</w:t>
      </w:r>
    </w:p>
    <w:p w14:paraId="0B63B9DE">
      <w:pPr>
        <w:tabs>
          <w:tab w:val="left" w:pos="420"/>
        </w:tabs>
        <w:autoSpaceDE w:val="0"/>
        <w:autoSpaceDN w:val="0"/>
        <w:adjustRightInd w:val="0"/>
        <w:spacing w:line="360" w:lineRule="auto"/>
        <w:ind w:firstLine="480" w:firstLineChars="200"/>
        <w:rPr>
          <w:rFonts w:ascii="宋体" w:hAnsi="宋体" w:cs="宋体"/>
          <w:kern w:val="0"/>
          <w:sz w:val="24"/>
          <w:lang w:val="zh-CN"/>
        </w:rPr>
      </w:pPr>
      <w:r>
        <w:rPr>
          <w:rFonts w:hint="eastAsia" w:ascii="宋体" w:hAnsi="宋体" w:cs="宋体"/>
          <w:kern w:val="0"/>
          <w:sz w:val="24"/>
          <w:lang w:val="zh-CN"/>
        </w:rPr>
        <w:t>（2）现场安装调试后的验收按双方商定的《验收大纲》进行验收，并出具相应检测报告。设备验收时所需的各项耗材及相关测试实验等费用由投标中标方承担，并计入投标总价。</w:t>
      </w:r>
    </w:p>
    <w:p w14:paraId="0BDE293B">
      <w:pPr>
        <w:tabs>
          <w:tab w:val="left" w:pos="420"/>
        </w:tabs>
        <w:autoSpaceDE w:val="0"/>
        <w:autoSpaceDN w:val="0"/>
        <w:adjustRightInd w:val="0"/>
        <w:spacing w:line="360" w:lineRule="auto"/>
        <w:ind w:firstLine="480" w:firstLineChars="200"/>
        <w:rPr>
          <w:rFonts w:ascii="宋体" w:hAnsi="宋体" w:cs="宋体"/>
          <w:kern w:val="0"/>
          <w:sz w:val="24"/>
          <w:lang w:val="zh-CN"/>
        </w:rPr>
      </w:pPr>
      <w:r>
        <w:rPr>
          <w:rFonts w:hint="eastAsia" w:ascii="宋体" w:hAnsi="宋体" w:cs="宋体"/>
          <w:kern w:val="0"/>
          <w:sz w:val="24"/>
          <w:lang w:val="zh-CN"/>
        </w:rPr>
        <w:t>（3）现场性能检验：投标中标方所提供设备应满足双方在技术协议中所签订的各项性能参数，设备性能测试安排在设备安装调试结束后72小时内完成；在性能测试期间，由投标中标方设备自身的原因造成未能达到性能指标要求的，经过投标中标方技术人员及维修人员处理后，仍不能达到规定性能要求的，投标中标方须保证在30天内进行免费更换。如经投标中标方更换处理后仍未能达到招标人的使用要求及约定的设备性能的，招标人有权退货，投标中标方除承担违约责任外，还应承担退货产生的所有费用并退还招标人已付货款。</w:t>
      </w:r>
    </w:p>
    <w:p w14:paraId="64E07D05">
      <w:pPr>
        <w:tabs>
          <w:tab w:val="left" w:pos="420"/>
        </w:tabs>
        <w:autoSpaceDE w:val="0"/>
        <w:autoSpaceDN w:val="0"/>
        <w:adjustRightInd w:val="0"/>
        <w:spacing w:line="360" w:lineRule="auto"/>
        <w:rPr>
          <w:rFonts w:ascii="宋体" w:hAnsi="宋体" w:cs="宋体"/>
          <w:b/>
          <w:bCs/>
          <w:kern w:val="0"/>
          <w:sz w:val="24"/>
          <w:lang w:val="zh-CN"/>
        </w:rPr>
      </w:pPr>
      <w:r>
        <w:rPr>
          <w:rFonts w:hint="eastAsia" w:ascii="宋体" w:hAnsi="宋体" w:cs="宋体"/>
          <w:b/>
          <w:bCs/>
          <w:kern w:val="0"/>
          <w:sz w:val="24"/>
          <w:lang w:val="zh-CN"/>
        </w:rPr>
        <w:t>7.质量及知识产权要求</w:t>
      </w:r>
    </w:p>
    <w:p w14:paraId="61187933">
      <w:pPr>
        <w:numPr>
          <w:ilvl w:val="0"/>
          <w:numId w:val="11"/>
        </w:numPr>
        <w:tabs>
          <w:tab w:val="left" w:pos="426"/>
          <w:tab w:val="left" w:pos="851"/>
        </w:tabs>
        <w:autoSpaceDE w:val="0"/>
        <w:autoSpaceDN w:val="0"/>
        <w:adjustRightInd w:val="0"/>
        <w:spacing w:line="360" w:lineRule="auto"/>
        <w:jc w:val="left"/>
        <w:rPr>
          <w:rFonts w:ascii="宋体" w:hAnsi="宋体" w:cs="宋体"/>
          <w:kern w:val="0"/>
          <w:sz w:val="24"/>
          <w:lang w:val="zh-CN"/>
        </w:rPr>
      </w:pPr>
      <w:r>
        <w:rPr>
          <w:rFonts w:hint="eastAsia" w:ascii="宋体" w:hAnsi="宋体" w:cs="宋体"/>
          <w:kern w:val="0"/>
          <w:sz w:val="24"/>
          <w:lang w:val="zh-CN"/>
        </w:rPr>
        <w:t>投标人提供完好、全新的原包装产品（包括零配件），随机技术资料齐全。产品符合国家质量检测标准，必须具有生产日期、厂名、厂址、产品合格证等。进口产品须提供海关进货单（复印件备查）。</w:t>
      </w:r>
    </w:p>
    <w:p w14:paraId="39D30066">
      <w:pPr>
        <w:numPr>
          <w:ilvl w:val="0"/>
          <w:numId w:val="11"/>
        </w:numPr>
        <w:tabs>
          <w:tab w:val="left" w:pos="426"/>
          <w:tab w:val="left" w:pos="851"/>
        </w:tabs>
        <w:autoSpaceDE w:val="0"/>
        <w:autoSpaceDN w:val="0"/>
        <w:adjustRightInd w:val="0"/>
        <w:spacing w:line="360" w:lineRule="auto"/>
        <w:jc w:val="left"/>
        <w:rPr>
          <w:rFonts w:ascii="宋体" w:hAnsi="宋体" w:cs="宋体"/>
          <w:kern w:val="0"/>
          <w:sz w:val="24"/>
          <w:lang w:val="zh-CN"/>
        </w:rPr>
      </w:pPr>
      <w:r>
        <w:rPr>
          <w:rFonts w:hint="eastAsia" w:ascii="宋体" w:hAnsi="宋体" w:cs="宋体"/>
          <w:kern w:val="0"/>
          <w:sz w:val="24"/>
          <w:lang w:val="zh-CN"/>
        </w:rPr>
        <w:t>采购人在中国使用该货物或货物的任何一部分时，免受第三方提出的侵犯其专利权、商标权或工业设计权等知识产权的起诉或司法干预。如果发生上述起诉或干预，则其法律责任均由投标人负责。</w:t>
      </w:r>
    </w:p>
    <w:p w14:paraId="14350A3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Bookman Old Style">
    <w:panose1 w:val="02050604050505020204"/>
    <w:charset w:val="00"/>
    <w:family w:val="roman"/>
    <w:pitch w:val="default"/>
    <w:sig w:usb0="00000287" w:usb1="00000000" w:usb2="00000000" w:usb3="00000000" w:csb0="2000009F" w:csb1="DFD7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0E50E8"/>
    <w:multiLevelType w:val="multilevel"/>
    <w:tmpl w:val="0B0E50E8"/>
    <w:lvl w:ilvl="0" w:tentative="0">
      <w:start w:val="1"/>
      <w:numFmt w:val="decimal"/>
      <w:lvlText w:val="1.%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0CC51B50"/>
    <w:multiLevelType w:val="multilevel"/>
    <w:tmpl w:val="0CC51B50"/>
    <w:lvl w:ilvl="0" w:tentative="0">
      <w:start w:val="1"/>
      <w:numFmt w:val="decimal"/>
      <w:suff w:val="nothing"/>
      <w:lvlText w:val="5.%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212407A8"/>
    <w:multiLevelType w:val="multilevel"/>
    <w:tmpl w:val="212407A8"/>
    <w:lvl w:ilvl="0" w:tentative="0">
      <w:start w:val="1"/>
      <w:numFmt w:val="decimal"/>
      <w:suff w:val="nothing"/>
      <w:lvlText w:val="3.%1"/>
      <w:lvlJc w:val="left"/>
      <w:pPr>
        <w:ind w:left="880" w:hanging="440"/>
      </w:pPr>
      <w:rPr>
        <w:rFonts w:hint="eastAsia"/>
      </w:rPr>
    </w:lvl>
    <w:lvl w:ilvl="1" w:tentative="0">
      <w:start w:val="1"/>
      <w:numFmt w:val="lowerLetter"/>
      <w:lvlText w:val="%2)"/>
      <w:lvlJc w:val="left"/>
      <w:pPr>
        <w:ind w:left="1320" w:hanging="440"/>
      </w:pPr>
    </w:lvl>
    <w:lvl w:ilvl="2" w:tentative="0">
      <w:start w:val="1"/>
      <w:numFmt w:val="lowerRoman"/>
      <w:lvlText w:val="%3."/>
      <w:lvlJc w:val="right"/>
      <w:pPr>
        <w:ind w:left="1760" w:hanging="440"/>
      </w:pPr>
    </w:lvl>
    <w:lvl w:ilvl="3" w:tentative="0">
      <w:start w:val="1"/>
      <w:numFmt w:val="decimal"/>
      <w:lvlText w:val="%4."/>
      <w:lvlJc w:val="left"/>
      <w:pPr>
        <w:ind w:left="2200" w:hanging="440"/>
      </w:pPr>
    </w:lvl>
    <w:lvl w:ilvl="4" w:tentative="0">
      <w:start w:val="1"/>
      <w:numFmt w:val="lowerLetter"/>
      <w:lvlText w:val="%5)"/>
      <w:lvlJc w:val="left"/>
      <w:pPr>
        <w:ind w:left="2640" w:hanging="440"/>
      </w:pPr>
    </w:lvl>
    <w:lvl w:ilvl="5" w:tentative="0">
      <w:start w:val="1"/>
      <w:numFmt w:val="lowerRoman"/>
      <w:lvlText w:val="%6."/>
      <w:lvlJc w:val="right"/>
      <w:pPr>
        <w:ind w:left="3080" w:hanging="440"/>
      </w:pPr>
    </w:lvl>
    <w:lvl w:ilvl="6" w:tentative="0">
      <w:start w:val="1"/>
      <w:numFmt w:val="decimal"/>
      <w:lvlText w:val="%7."/>
      <w:lvlJc w:val="left"/>
      <w:pPr>
        <w:ind w:left="3520" w:hanging="440"/>
      </w:pPr>
    </w:lvl>
    <w:lvl w:ilvl="7" w:tentative="0">
      <w:start w:val="1"/>
      <w:numFmt w:val="lowerLetter"/>
      <w:lvlText w:val="%8)"/>
      <w:lvlJc w:val="left"/>
      <w:pPr>
        <w:ind w:left="3960" w:hanging="440"/>
      </w:pPr>
    </w:lvl>
    <w:lvl w:ilvl="8" w:tentative="0">
      <w:start w:val="1"/>
      <w:numFmt w:val="lowerRoman"/>
      <w:lvlText w:val="%9."/>
      <w:lvlJc w:val="right"/>
      <w:pPr>
        <w:ind w:left="4400" w:hanging="440"/>
      </w:pPr>
    </w:lvl>
  </w:abstractNum>
  <w:abstractNum w:abstractNumId="3">
    <w:nsid w:val="575D4E0B"/>
    <w:multiLevelType w:val="multilevel"/>
    <w:tmpl w:val="575D4E0B"/>
    <w:lvl w:ilvl="0" w:tentative="0">
      <w:start w:val="1"/>
      <w:numFmt w:val="decimal"/>
      <w:suff w:val="nothing"/>
      <w:lvlText w:val="2.%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5E301E9E"/>
    <w:multiLevelType w:val="multilevel"/>
    <w:tmpl w:val="5E301E9E"/>
    <w:lvl w:ilvl="0" w:tentative="0">
      <w:start w:val="1"/>
      <w:numFmt w:val="decimal"/>
      <w:lvlText w:val="2.%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638955B5"/>
    <w:multiLevelType w:val="multilevel"/>
    <w:tmpl w:val="638955B5"/>
    <w:lvl w:ilvl="0" w:tentative="0">
      <w:start w:val="1"/>
      <w:numFmt w:val="decimal"/>
      <w:suff w:val="nothing"/>
      <w:lvlText w:val="4.%1"/>
      <w:lvlJc w:val="left"/>
      <w:pPr>
        <w:ind w:left="88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675036FC"/>
    <w:multiLevelType w:val="multilevel"/>
    <w:tmpl w:val="675036FC"/>
    <w:lvl w:ilvl="0" w:tentative="0">
      <w:start w:val="1"/>
      <w:numFmt w:val="decimal"/>
      <w:lvlText w:val="3.%1"/>
      <w:lvlJc w:val="left"/>
      <w:pPr>
        <w:ind w:left="880" w:hanging="440"/>
      </w:pPr>
      <w:rPr>
        <w:rFonts w:hint="eastAsia"/>
      </w:rPr>
    </w:lvl>
    <w:lvl w:ilvl="1" w:tentative="0">
      <w:start w:val="1"/>
      <w:numFmt w:val="lowerLetter"/>
      <w:lvlText w:val="%2)"/>
      <w:lvlJc w:val="left"/>
      <w:pPr>
        <w:ind w:left="1320" w:hanging="440"/>
      </w:pPr>
    </w:lvl>
    <w:lvl w:ilvl="2" w:tentative="0">
      <w:start w:val="1"/>
      <w:numFmt w:val="lowerRoman"/>
      <w:lvlText w:val="%3."/>
      <w:lvlJc w:val="right"/>
      <w:pPr>
        <w:ind w:left="1760" w:hanging="440"/>
      </w:pPr>
    </w:lvl>
    <w:lvl w:ilvl="3" w:tentative="0">
      <w:start w:val="1"/>
      <w:numFmt w:val="decimal"/>
      <w:lvlText w:val="%4."/>
      <w:lvlJc w:val="left"/>
      <w:pPr>
        <w:ind w:left="2200" w:hanging="440"/>
      </w:pPr>
    </w:lvl>
    <w:lvl w:ilvl="4" w:tentative="0">
      <w:start w:val="1"/>
      <w:numFmt w:val="lowerLetter"/>
      <w:lvlText w:val="%5)"/>
      <w:lvlJc w:val="left"/>
      <w:pPr>
        <w:ind w:left="2640" w:hanging="440"/>
      </w:pPr>
    </w:lvl>
    <w:lvl w:ilvl="5" w:tentative="0">
      <w:start w:val="1"/>
      <w:numFmt w:val="lowerRoman"/>
      <w:lvlText w:val="%6."/>
      <w:lvlJc w:val="right"/>
      <w:pPr>
        <w:ind w:left="3080" w:hanging="440"/>
      </w:pPr>
    </w:lvl>
    <w:lvl w:ilvl="6" w:tentative="0">
      <w:start w:val="1"/>
      <w:numFmt w:val="decimal"/>
      <w:lvlText w:val="%7."/>
      <w:lvlJc w:val="left"/>
      <w:pPr>
        <w:ind w:left="3520" w:hanging="440"/>
      </w:pPr>
    </w:lvl>
    <w:lvl w:ilvl="7" w:tentative="0">
      <w:start w:val="1"/>
      <w:numFmt w:val="lowerLetter"/>
      <w:lvlText w:val="%8)"/>
      <w:lvlJc w:val="left"/>
      <w:pPr>
        <w:ind w:left="3960" w:hanging="440"/>
      </w:pPr>
    </w:lvl>
    <w:lvl w:ilvl="8" w:tentative="0">
      <w:start w:val="1"/>
      <w:numFmt w:val="lowerRoman"/>
      <w:lvlText w:val="%9."/>
      <w:lvlJc w:val="right"/>
      <w:pPr>
        <w:ind w:left="4400" w:hanging="440"/>
      </w:pPr>
    </w:lvl>
  </w:abstractNum>
  <w:abstractNum w:abstractNumId="7">
    <w:nsid w:val="6D9C41F9"/>
    <w:multiLevelType w:val="multilevel"/>
    <w:tmpl w:val="6D9C41F9"/>
    <w:lvl w:ilvl="0" w:tentative="0">
      <w:start w:val="1"/>
      <w:numFmt w:val="decimal"/>
      <w:suff w:val="nothing"/>
      <w:lvlText w:val="1.%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
    <w:nsid w:val="6E2E2083"/>
    <w:multiLevelType w:val="multilevel"/>
    <w:tmpl w:val="6E2E2083"/>
    <w:lvl w:ilvl="0" w:tentative="0">
      <w:start w:val="1"/>
      <w:numFmt w:val="decimal"/>
      <w:lvlText w:val="%1)"/>
      <w:lvlJc w:val="left"/>
      <w:pPr>
        <w:tabs>
          <w:tab w:val="left" w:pos="1500"/>
        </w:tabs>
        <w:ind w:left="1500" w:hanging="420"/>
      </w:pPr>
    </w:lvl>
    <w:lvl w:ilvl="1" w:tentative="0">
      <w:start w:val="1"/>
      <w:numFmt w:val="lowerLetter"/>
      <w:lvlText w:val="%2)"/>
      <w:lvlJc w:val="left"/>
      <w:pPr>
        <w:tabs>
          <w:tab w:val="left" w:pos="1920"/>
        </w:tabs>
        <w:ind w:left="1920" w:hanging="420"/>
      </w:pPr>
    </w:lvl>
    <w:lvl w:ilvl="2" w:tentative="0">
      <w:start w:val="1"/>
      <w:numFmt w:val="lowerRoman"/>
      <w:lvlText w:val="%3."/>
      <w:lvlJc w:val="right"/>
      <w:pPr>
        <w:tabs>
          <w:tab w:val="left" w:pos="2340"/>
        </w:tabs>
        <w:ind w:left="2340" w:hanging="420"/>
      </w:pPr>
    </w:lvl>
    <w:lvl w:ilvl="3" w:tentative="0">
      <w:start w:val="1"/>
      <w:numFmt w:val="decimal"/>
      <w:lvlText w:val="%4."/>
      <w:lvlJc w:val="left"/>
      <w:pPr>
        <w:tabs>
          <w:tab w:val="left" w:pos="2760"/>
        </w:tabs>
        <w:ind w:left="2760" w:hanging="420"/>
      </w:pPr>
    </w:lvl>
    <w:lvl w:ilvl="4" w:tentative="0">
      <w:start w:val="1"/>
      <w:numFmt w:val="lowerLetter"/>
      <w:lvlText w:val="%5)"/>
      <w:lvlJc w:val="left"/>
      <w:pPr>
        <w:tabs>
          <w:tab w:val="left" w:pos="3180"/>
        </w:tabs>
        <w:ind w:left="3180" w:hanging="420"/>
      </w:pPr>
    </w:lvl>
    <w:lvl w:ilvl="5" w:tentative="0">
      <w:start w:val="1"/>
      <w:numFmt w:val="lowerRoman"/>
      <w:lvlText w:val="%6."/>
      <w:lvlJc w:val="right"/>
      <w:pPr>
        <w:tabs>
          <w:tab w:val="left" w:pos="3600"/>
        </w:tabs>
        <w:ind w:left="3600" w:hanging="420"/>
      </w:pPr>
    </w:lvl>
    <w:lvl w:ilvl="6" w:tentative="0">
      <w:start w:val="1"/>
      <w:numFmt w:val="decimal"/>
      <w:lvlText w:val="%7."/>
      <w:lvlJc w:val="left"/>
      <w:pPr>
        <w:tabs>
          <w:tab w:val="left" w:pos="4020"/>
        </w:tabs>
        <w:ind w:left="4020" w:hanging="420"/>
      </w:pPr>
    </w:lvl>
    <w:lvl w:ilvl="7" w:tentative="0">
      <w:start w:val="1"/>
      <w:numFmt w:val="lowerLetter"/>
      <w:lvlText w:val="%8)"/>
      <w:lvlJc w:val="left"/>
      <w:pPr>
        <w:tabs>
          <w:tab w:val="left" w:pos="4440"/>
        </w:tabs>
        <w:ind w:left="4440" w:hanging="420"/>
      </w:pPr>
    </w:lvl>
    <w:lvl w:ilvl="8" w:tentative="0">
      <w:start w:val="1"/>
      <w:numFmt w:val="lowerRoman"/>
      <w:lvlText w:val="%9."/>
      <w:lvlJc w:val="right"/>
      <w:pPr>
        <w:tabs>
          <w:tab w:val="left" w:pos="4860"/>
        </w:tabs>
        <w:ind w:left="4860" w:hanging="420"/>
      </w:pPr>
    </w:lvl>
  </w:abstractNum>
  <w:abstractNum w:abstractNumId="9">
    <w:nsid w:val="6F8764DD"/>
    <w:multiLevelType w:val="multilevel"/>
    <w:tmpl w:val="6F8764DD"/>
    <w:lvl w:ilvl="0" w:tentative="0">
      <w:start w:val="1"/>
      <w:numFmt w:val="decimal"/>
      <w:lvlText w:val="4.%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0">
    <w:nsid w:val="70816618"/>
    <w:multiLevelType w:val="multilevel"/>
    <w:tmpl w:val="7081661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4"/>
  </w:num>
  <w:num w:numId="3">
    <w:abstractNumId w:val="2"/>
  </w:num>
  <w:num w:numId="4">
    <w:abstractNumId w:val="5"/>
  </w:num>
  <w:num w:numId="5">
    <w:abstractNumId w:val="7"/>
  </w:num>
  <w:num w:numId="6">
    <w:abstractNumId w:val="3"/>
  </w:num>
  <w:num w:numId="7">
    <w:abstractNumId w:val="6"/>
  </w:num>
  <w:num w:numId="8">
    <w:abstractNumId w:val="9"/>
  </w:num>
  <w:num w:numId="9">
    <w:abstractNumId w:val="1"/>
  </w:num>
  <w:num w:numId="10">
    <w:abstractNumId w:val="8"/>
  </w:num>
  <w:num w:numId="11">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东方招标">
    <w15:presenceInfo w15:providerId="WPS Office" w15:userId="136037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D979E3"/>
    <w:rsid w:val="45D979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w:basedOn w:val="1"/>
    <w:unhideWhenUsed/>
    <w:qFormat/>
    <w:uiPriority w:val="99"/>
    <w:pPr>
      <w:spacing w:after="120"/>
      <w:ind w:left="420" w:leftChars="200"/>
    </w:pPr>
  </w:style>
  <w:style w:type="paragraph" w:styleId="3">
    <w:name w:val="Plain Text"/>
    <w:basedOn w:val="1"/>
    <w:unhideWhenUsed/>
    <w:qFormat/>
    <w:uiPriority w:val="0"/>
    <w:rPr>
      <w:rFonts w:ascii="宋体" w:hAnsi="Courier New" w:eastAsia="宋体" w:cs="Times New Roman"/>
      <w:szCs w:val="21"/>
    </w:rPr>
  </w:style>
  <w:style w:type="paragraph" w:styleId="4">
    <w:name w:val="Body Text First Indent 2"/>
    <w:basedOn w:val="2"/>
    <w:unhideWhenUsed/>
    <w:qFormat/>
    <w:uiPriority w:val="99"/>
    <w:pPr>
      <w:spacing w:after="0"/>
      <w:ind w:left="0" w:leftChars="0" w:firstLine="420" w:firstLineChars="200"/>
    </w:pPr>
    <w:rPr>
      <w:rFonts w:ascii="Arial" w:hAnsi="Arial" w:eastAsia="仿宋_GB2312"/>
      <w:sz w:val="28"/>
    </w:rPr>
  </w:style>
  <w:style w:type="paragraph" w:customStyle="1" w:styleId="7">
    <w:name w:val="_Style 75"/>
    <w:basedOn w:val="1"/>
    <w:next w:val="8"/>
    <w:qFormat/>
    <w:uiPriority w:val="0"/>
    <w:pPr>
      <w:widowControl/>
      <w:ind w:firstLine="420" w:firstLineChars="200"/>
      <w:jc w:val="left"/>
    </w:pPr>
    <w:rPr>
      <w:rFonts w:ascii="Times New Roman" w:hAnsi="Times New Roman" w:eastAsia="宋体" w:cs="Times New Roman"/>
      <w:kern w:val="0"/>
      <w:sz w:val="24"/>
      <w:szCs w:val="24"/>
    </w:rPr>
  </w:style>
  <w:style w:type="paragraph" w:styleId="8">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2026-07-02T14:32:00Z</dcterms:created>
  <dc:creator>东方招标</dc:creator>
  <cp:lastModifiedBy>东方招标</cp:lastModifiedBy>
  <dcterms:modified xsi:type="dcterms:W3CDTF">2026-07-02T14:36:48Z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6536A8BA0D76428FB9D5BD913EA8B57E_11</vt:lpwstr>
  </property>
  <property fmtid="{D5CDD505-2E9C-101B-9397-08002B2CF9AE}" pid="4" name="KSOTemplateDocerSaveRecord">
    <vt:lpwstr>eyJoZGlkIjoiM2M5ZGIyMzIxOTdkOTkyYzNmZGFhY2ZhMTY2YWVmNmUiLCJ1c2VySWQiOiIyMDE2OTM2MTEifQ==</vt:lpwstr>
  </property>
</Properties>
</file>