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25ACB">
      <w:pPr>
        <w:adjustRightInd w:val="0"/>
        <w:snapToGrid w:val="0"/>
        <w:spacing w:after="156" w:afterLines="50" w:line="360" w:lineRule="auto"/>
        <w:jc w:val="center"/>
        <w:outlineLvl w:val="0"/>
        <w:rPr>
          <w:rFonts w:hint="eastAsia" w:ascii="黑体" w:eastAsia="黑体"/>
          <w:b/>
          <w:color w:val="auto"/>
          <w:kern w:val="44"/>
          <w:sz w:val="48"/>
          <w:szCs w:val="20"/>
        </w:rPr>
      </w:pPr>
      <w:r>
        <w:rPr>
          <w:rFonts w:hint="eastAsia" w:ascii="宋体" w:hAnsi="宋体"/>
          <w:b/>
          <w:color w:val="auto"/>
          <w:sz w:val="30"/>
          <w:szCs w:val="30"/>
        </w:rPr>
        <w:t>采购需求</w:t>
      </w:r>
    </w:p>
    <w:p w14:paraId="71501FE3">
      <w:pPr>
        <w:adjustRightInd w:val="0"/>
        <w:snapToGrid w:val="0"/>
        <w:spacing w:before="156" w:beforeLines="50" w:after="156" w:afterLines="50" w:line="360" w:lineRule="auto"/>
        <w:jc w:val="center"/>
        <w:rPr>
          <w:rFonts w:hint="eastAsia" w:ascii="宋体" w:hAnsi="宋体"/>
          <w:b/>
          <w:color w:val="auto"/>
          <w:sz w:val="24"/>
        </w:rPr>
      </w:pPr>
    </w:p>
    <w:p w14:paraId="419396BB">
      <w:pPr>
        <w:adjustRightInd w:val="0"/>
        <w:snapToGrid w:val="0"/>
        <w:spacing w:before="156" w:beforeLines="50" w:after="156" w:afterLines="50" w:line="360" w:lineRule="auto"/>
        <w:jc w:val="center"/>
        <w:rPr>
          <w:rFonts w:hint="eastAsia" w:ascii="宋体" w:hAnsi="宋体"/>
          <w:b/>
          <w:color w:val="auto"/>
          <w:sz w:val="28"/>
          <w:szCs w:val="28"/>
        </w:rPr>
      </w:pPr>
      <w:r>
        <w:rPr>
          <w:rFonts w:hint="eastAsia" w:ascii="宋体" w:hAnsi="宋体"/>
          <w:b/>
          <w:color w:val="auto"/>
          <w:sz w:val="28"/>
          <w:szCs w:val="28"/>
        </w:rPr>
        <w:t>货物需求一览表</w:t>
      </w:r>
    </w:p>
    <w:p w14:paraId="39B263EF">
      <w:pPr>
        <w:rPr>
          <w:rFonts w:hint="eastAsia"/>
          <w:color w:val="auto"/>
        </w:rPr>
      </w:pPr>
    </w:p>
    <w:tbl>
      <w:tblPr>
        <w:tblStyle w:val="7"/>
        <w:tblW w:w="78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38"/>
        <w:gridCol w:w="3675"/>
        <w:gridCol w:w="1517"/>
        <w:gridCol w:w="1710"/>
      </w:tblGrid>
      <w:tr w14:paraId="5BD26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73" w:hRule="atLeast"/>
          <w:jc w:val="center"/>
        </w:trPr>
        <w:tc>
          <w:tcPr>
            <w:tcW w:w="938" w:type="dxa"/>
            <w:noWrap w:val="0"/>
            <w:vAlign w:val="center"/>
          </w:tcPr>
          <w:p w14:paraId="3D0ADD09">
            <w:pPr>
              <w:jc w:val="center"/>
              <w:rPr>
                <w:rFonts w:ascii="宋体" w:hAnsi="Bookman Old Style"/>
                <w:color w:val="auto"/>
                <w:sz w:val="24"/>
              </w:rPr>
            </w:pPr>
            <w:r>
              <w:rPr>
                <w:rFonts w:hint="eastAsia" w:ascii="宋体" w:hAnsi="Bookman Old Style"/>
                <w:color w:val="auto"/>
                <w:sz w:val="24"/>
              </w:rPr>
              <w:t>包号</w:t>
            </w:r>
          </w:p>
        </w:tc>
        <w:tc>
          <w:tcPr>
            <w:tcW w:w="3675" w:type="dxa"/>
            <w:noWrap w:val="0"/>
            <w:vAlign w:val="center"/>
          </w:tcPr>
          <w:p w14:paraId="25AA8B57">
            <w:pPr>
              <w:jc w:val="center"/>
              <w:rPr>
                <w:rFonts w:ascii="宋体" w:hAnsi="Bookman Old Style"/>
                <w:color w:val="auto"/>
                <w:sz w:val="24"/>
              </w:rPr>
            </w:pPr>
            <w:r>
              <w:rPr>
                <w:rFonts w:hint="eastAsia" w:ascii="宋体" w:hAnsi="Bookman Old Style"/>
                <w:color w:val="auto"/>
                <w:sz w:val="24"/>
              </w:rPr>
              <w:t>货物名称</w:t>
            </w:r>
          </w:p>
        </w:tc>
        <w:tc>
          <w:tcPr>
            <w:tcW w:w="1517" w:type="dxa"/>
            <w:noWrap w:val="0"/>
            <w:vAlign w:val="center"/>
          </w:tcPr>
          <w:p w14:paraId="74D0D182">
            <w:pPr>
              <w:jc w:val="center"/>
              <w:rPr>
                <w:rFonts w:ascii="宋体" w:hAnsi="Bookman Old Style"/>
                <w:color w:val="auto"/>
                <w:sz w:val="24"/>
              </w:rPr>
            </w:pPr>
            <w:r>
              <w:rPr>
                <w:rFonts w:hint="eastAsia" w:ascii="宋体" w:hAnsi="Bookman Old Style"/>
                <w:color w:val="auto"/>
                <w:sz w:val="24"/>
              </w:rPr>
              <w:t>数量</w:t>
            </w:r>
          </w:p>
        </w:tc>
        <w:tc>
          <w:tcPr>
            <w:tcW w:w="1710" w:type="dxa"/>
            <w:noWrap w:val="0"/>
            <w:vAlign w:val="center"/>
          </w:tcPr>
          <w:p w14:paraId="62782C06">
            <w:pPr>
              <w:jc w:val="center"/>
              <w:rPr>
                <w:rFonts w:ascii="宋体" w:hAnsi="Bookman Old Style"/>
                <w:color w:val="auto"/>
                <w:sz w:val="24"/>
              </w:rPr>
            </w:pPr>
            <w:r>
              <w:rPr>
                <w:rFonts w:hint="eastAsia" w:ascii="宋体" w:hAnsi="Bookman Old Style"/>
                <w:color w:val="auto"/>
                <w:sz w:val="24"/>
              </w:rPr>
              <w:t>是否接受进口</w:t>
            </w:r>
          </w:p>
        </w:tc>
      </w:tr>
      <w:tr w14:paraId="2083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3" w:hRule="atLeast"/>
          <w:jc w:val="center"/>
        </w:trPr>
        <w:tc>
          <w:tcPr>
            <w:tcW w:w="938" w:type="dxa"/>
            <w:noWrap w:val="0"/>
            <w:vAlign w:val="center"/>
          </w:tcPr>
          <w:p w14:paraId="191ABC9A">
            <w:pPr>
              <w:jc w:val="center"/>
              <w:rPr>
                <w:rFonts w:hint="eastAsia" w:ascii="宋体"/>
                <w:color w:val="auto"/>
                <w:sz w:val="24"/>
              </w:rPr>
            </w:pPr>
            <w:r>
              <w:rPr>
                <w:rFonts w:hint="eastAsia" w:ascii="宋体"/>
                <w:color w:val="auto"/>
                <w:sz w:val="24"/>
              </w:rPr>
              <w:t>1</w:t>
            </w:r>
          </w:p>
        </w:tc>
        <w:tc>
          <w:tcPr>
            <w:tcW w:w="3675" w:type="dxa"/>
            <w:noWrap w:val="0"/>
            <w:vAlign w:val="center"/>
          </w:tcPr>
          <w:p w14:paraId="433CA658">
            <w:pPr>
              <w:jc w:val="center"/>
              <w:rPr>
                <w:rFonts w:ascii="Bookman Old Style" w:hAnsi="Bookman Old Style"/>
                <w:color w:val="auto"/>
                <w:sz w:val="24"/>
              </w:rPr>
            </w:pPr>
            <w:r>
              <w:rPr>
                <w:rFonts w:hint="eastAsia" w:ascii="宋体" w:hAnsi="宋体" w:cs="宋体"/>
                <w:color w:val="auto"/>
                <w:sz w:val="24"/>
              </w:rPr>
              <w:t>表面活化晶圆键合设备</w:t>
            </w:r>
          </w:p>
        </w:tc>
        <w:tc>
          <w:tcPr>
            <w:tcW w:w="1517" w:type="dxa"/>
            <w:noWrap w:val="0"/>
            <w:vAlign w:val="center"/>
          </w:tcPr>
          <w:p w14:paraId="242D6A30">
            <w:pPr>
              <w:jc w:val="center"/>
              <w:rPr>
                <w:rFonts w:hint="eastAsia" w:ascii="宋体" w:hAnsi="Bookman Old Style"/>
                <w:color w:val="auto"/>
                <w:sz w:val="24"/>
              </w:rPr>
            </w:pPr>
            <w:r>
              <w:rPr>
                <w:rFonts w:hint="eastAsia" w:ascii="宋体" w:hAnsi="宋体" w:cs="宋体"/>
                <w:color w:val="auto"/>
                <w:sz w:val="24"/>
              </w:rPr>
              <w:t>1套</w:t>
            </w:r>
          </w:p>
        </w:tc>
        <w:tc>
          <w:tcPr>
            <w:tcW w:w="1710" w:type="dxa"/>
            <w:noWrap w:val="0"/>
            <w:vAlign w:val="center"/>
          </w:tcPr>
          <w:p w14:paraId="7D941AD7">
            <w:pPr>
              <w:jc w:val="center"/>
              <w:rPr>
                <w:rFonts w:hint="eastAsia" w:ascii="宋体" w:hAnsi="Bookman Old Style"/>
                <w:color w:val="auto"/>
                <w:sz w:val="24"/>
              </w:rPr>
            </w:pPr>
            <w:r>
              <w:rPr>
                <w:rFonts w:hint="eastAsia" w:ascii="宋体" w:hAnsi="Bookman Old Style"/>
                <w:color w:val="auto"/>
                <w:sz w:val="24"/>
              </w:rPr>
              <w:t>否</w:t>
            </w:r>
          </w:p>
        </w:tc>
      </w:tr>
    </w:tbl>
    <w:p w14:paraId="3B374168">
      <w:pPr>
        <w:adjustRightInd w:val="0"/>
        <w:snapToGrid w:val="0"/>
        <w:jc w:val="center"/>
        <w:rPr>
          <w:rFonts w:hint="eastAsia" w:ascii="宋体" w:hAnsi="宋体"/>
          <w:b/>
          <w:color w:val="auto"/>
          <w:sz w:val="30"/>
          <w:szCs w:val="30"/>
        </w:rPr>
      </w:pPr>
    </w:p>
    <w:p w14:paraId="6FF0E77C">
      <w:pPr>
        <w:spacing w:line="360" w:lineRule="auto"/>
        <w:rPr>
          <w:rFonts w:hint="eastAsia" w:ascii="Bookman Old Style" w:hAnsi="Bookman Old Style"/>
          <w:color w:val="auto"/>
          <w:sz w:val="24"/>
        </w:rPr>
      </w:pPr>
      <w:r>
        <w:rPr>
          <w:rFonts w:hint="eastAsia"/>
          <w:color w:val="auto"/>
          <w:sz w:val="24"/>
        </w:rPr>
        <w:t>注：投标人须对上述投标内容中完整的一包或几包进行投标，</w:t>
      </w:r>
      <w:r>
        <w:rPr>
          <w:rFonts w:hint="eastAsia" w:ascii="Bookman Old Style" w:hAnsi="Bookman Old Style"/>
          <w:color w:val="auto"/>
          <w:sz w:val="24"/>
        </w:rPr>
        <w:t>不完整的投标将视为非响应性投标予以拒绝。</w:t>
      </w:r>
    </w:p>
    <w:p w14:paraId="5D86DBA8">
      <w:pPr>
        <w:tabs>
          <w:tab w:val="left" w:pos="720"/>
        </w:tabs>
        <w:adjustRightInd w:val="0"/>
        <w:snapToGrid w:val="0"/>
        <w:jc w:val="center"/>
        <w:rPr>
          <w:b/>
          <w:color w:val="auto"/>
          <w:sz w:val="32"/>
          <w:szCs w:val="32"/>
        </w:rPr>
      </w:pPr>
      <w:r>
        <w:rPr>
          <w:rFonts w:hint="eastAsia"/>
          <w:color w:val="auto"/>
        </w:rPr>
        <w:br w:type="page"/>
      </w:r>
      <w:r>
        <w:rPr>
          <w:rFonts w:hint="eastAsia"/>
          <w:b/>
          <w:color w:val="auto"/>
          <w:sz w:val="32"/>
          <w:szCs w:val="32"/>
        </w:rPr>
        <w:t>一、</w:t>
      </w:r>
      <w:r>
        <w:rPr>
          <w:b/>
          <w:color w:val="auto"/>
          <w:sz w:val="32"/>
          <w:szCs w:val="32"/>
        </w:rPr>
        <w:t>总则</w:t>
      </w:r>
    </w:p>
    <w:p w14:paraId="101D76E7">
      <w:pPr>
        <w:spacing w:line="360" w:lineRule="auto"/>
        <w:ind w:left="601" w:hanging="601"/>
        <w:rPr>
          <w:rFonts w:hint="eastAsia" w:ascii="宋体" w:hAnsi="宋体" w:cs="宋体"/>
          <w:b/>
          <w:color w:val="auto"/>
          <w:sz w:val="24"/>
        </w:rPr>
      </w:pPr>
      <w:r>
        <w:rPr>
          <w:rFonts w:hint="eastAsia" w:ascii="宋体" w:hAnsi="宋体" w:cs="宋体"/>
          <w:b/>
          <w:color w:val="auto"/>
          <w:sz w:val="24"/>
        </w:rPr>
        <w:t>1、投标要求</w:t>
      </w:r>
    </w:p>
    <w:p w14:paraId="244302D6">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1.1  供应商在准备投标文件时，务必在所提供的商品的技术规格文件中，标明型号、商标名称、目录号。</w:t>
      </w:r>
    </w:p>
    <w:p w14:paraId="10768DA7">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 xml:space="preserve">1.2  </w:t>
      </w:r>
      <w:r>
        <w:rPr>
          <w:rFonts w:hint="eastAsia" w:ascii="宋体" w:hAnsi="宋体" w:cs="宋体"/>
          <w:b/>
          <w:bCs/>
          <w:color w:val="auto"/>
          <w:sz w:val="24"/>
        </w:rPr>
        <w:t>供应商提供的货物须是成熟的全新的产品</w:t>
      </w:r>
      <w:r>
        <w:rPr>
          <w:rFonts w:hint="eastAsia" w:ascii="宋体" w:hAnsi="宋体" w:cs="宋体"/>
          <w:color w:val="auto"/>
          <w:sz w:val="24"/>
        </w:rPr>
        <w:t>，其技术规格应符合采购文件的要求。如与采购文件的技术规格有偏差，应提供技术规格偏差的量值或说明（偏离表）。如供应商有意隐瞒对规格要求的偏差或在开标后提出新的偏差，采购人有权拒绝其投标。</w:t>
      </w:r>
    </w:p>
    <w:p w14:paraId="3B03F51A">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1.3  供应商提供的产品样本，必须是“原件”而非复印件，图表、简图、电路图以及印刷电路板图等都应清晰易读。采购人有权不付任何附加费用复制这些资料以供参考。</w:t>
      </w:r>
    </w:p>
    <w:p w14:paraId="687585C3">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1.4  供应商的投标产品应符合国家有关部门规定的相应技术、节能、安全和环保标准；如国家有关部门对供应商的投标产品有强制性规定或要求的，则供应商的投标产品必须符合相应规定或要求。</w:t>
      </w:r>
    </w:p>
    <w:p w14:paraId="5B2BC13F">
      <w:pPr>
        <w:rPr>
          <w:rFonts w:hint="eastAsia"/>
          <w:color w:val="auto"/>
        </w:rPr>
      </w:pPr>
    </w:p>
    <w:p w14:paraId="498EC171">
      <w:pPr>
        <w:spacing w:line="360" w:lineRule="auto"/>
        <w:ind w:left="601" w:hanging="601"/>
        <w:rPr>
          <w:rFonts w:hint="eastAsia" w:ascii="宋体" w:hAnsi="宋体" w:cs="宋体"/>
          <w:b/>
          <w:color w:val="auto"/>
          <w:sz w:val="24"/>
        </w:rPr>
      </w:pPr>
      <w:r>
        <w:rPr>
          <w:rFonts w:hint="eastAsia" w:ascii="宋体" w:hAnsi="宋体" w:cs="宋体"/>
          <w:b/>
          <w:color w:val="auto"/>
          <w:sz w:val="24"/>
        </w:rPr>
        <w:t>2、评标标准</w:t>
      </w:r>
    </w:p>
    <w:p w14:paraId="291EED41">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2.1  除采购文件中指定的附件和专用工具外，供应商应提供仪器设备的正常运行和常规保养所需的全套标准附件、专用工具和消耗品。供应商在投标书中需列出这些附件和工具的数量和单价的清单，这些附件和工具的报价的总值需计入投标价中。</w:t>
      </w:r>
    </w:p>
    <w:p w14:paraId="33CA495F">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2.2  对于标书技术规范中已列出的作为查询选件的附件、零配件、专用工具和消耗品，投标文件中应列明其数量、单价、总价供采购人参考。供应商也可推荐采购人没有要求的附件或专用工具作为选件，并列明其数量、单价、总价供采购人参考。选件价格不计入评标价中。选件一旦为采购人用户接受，其费用将加入合同价中。</w:t>
      </w:r>
    </w:p>
    <w:p w14:paraId="28368A75">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2.3  为便于用户进行接收仪器的准备工作，供应商应在合同生效后</w:t>
      </w:r>
      <w:r>
        <w:rPr>
          <w:rFonts w:hint="eastAsia" w:ascii="宋体" w:hAnsi="宋体" w:cs="宋体"/>
          <w:b/>
          <w:color w:val="auto"/>
          <w:sz w:val="24"/>
        </w:rPr>
        <w:t>60</w:t>
      </w:r>
      <w:r>
        <w:rPr>
          <w:rFonts w:hint="eastAsia" w:ascii="宋体" w:hAnsi="宋体" w:cs="宋体"/>
          <w:color w:val="auto"/>
          <w:sz w:val="24"/>
        </w:rPr>
        <w:t>天内向用户提供一套完整的使用说明书、操作手册、维修及安装说明等文件。另一套完整上述资料应在交货时随货包装提供给用户，这些费用应计入投标价中。</w:t>
      </w:r>
    </w:p>
    <w:p w14:paraId="39CA450C">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2.4  关于设备的安装调试，如果有必要的安装准备条件，供应商应在合同生效后一个月内向采购人提出详细的要求或计划。安装调试的费用应计入投标价中，并应单独列出，供评标使用。</w:t>
      </w:r>
    </w:p>
    <w:p w14:paraId="75FFCEFB">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2.5  制造厂家提供的培训指的是涉及货物的基本原理、操作使用和保养维修等有关内容的培训。培训教员的培训费、旅费、食宿费等费用和培训场地费及培训资料费均应由供应商支付。</w:t>
      </w:r>
    </w:p>
    <w:p w14:paraId="23EAF23B">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2.6  在评标过程中，采购人有权向供应商索取任何与评标有关的资料，供应商务必在接到此类要求后，在规定时间内予以答复。对于无答复的供应商，采购人有权拒绝其投标。</w:t>
      </w:r>
    </w:p>
    <w:p w14:paraId="55627E80">
      <w:pPr>
        <w:rPr>
          <w:rFonts w:hint="eastAsia"/>
          <w:color w:val="auto"/>
        </w:rPr>
      </w:pPr>
    </w:p>
    <w:p w14:paraId="73A41C45">
      <w:pPr>
        <w:spacing w:line="360" w:lineRule="auto"/>
        <w:ind w:left="601" w:hanging="601"/>
        <w:rPr>
          <w:rFonts w:hint="eastAsia" w:ascii="宋体" w:hAnsi="宋体" w:cs="宋体"/>
          <w:b/>
          <w:color w:val="auto"/>
          <w:sz w:val="24"/>
        </w:rPr>
      </w:pPr>
      <w:r>
        <w:rPr>
          <w:rFonts w:hint="eastAsia" w:ascii="宋体" w:hAnsi="宋体" w:cs="宋体"/>
          <w:b/>
          <w:color w:val="auto"/>
          <w:sz w:val="24"/>
        </w:rPr>
        <w:t>3、工作条件</w:t>
      </w:r>
    </w:p>
    <w:p w14:paraId="754ACDD3">
      <w:pPr>
        <w:spacing w:line="360" w:lineRule="auto"/>
        <w:rPr>
          <w:rFonts w:hint="eastAsia" w:ascii="宋体" w:hAnsi="宋体" w:cs="宋体"/>
          <w:color w:val="auto"/>
          <w:sz w:val="24"/>
        </w:rPr>
      </w:pPr>
      <w:r>
        <w:rPr>
          <w:rFonts w:hint="eastAsia" w:ascii="宋体" w:hAnsi="宋体" w:cs="宋体"/>
          <w:color w:val="auto"/>
          <w:sz w:val="24"/>
        </w:rPr>
        <w:t xml:space="preserve">除非在技术规格中另有说明，所有仪器、设备和系统都应符合下列要求： </w:t>
      </w:r>
    </w:p>
    <w:p w14:paraId="113AA768">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3.1  适于在气温为摄氏-15℃～＋50℃和相对湿度为80％的环境条件下运输和贮存。</w:t>
      </w:r>
    </w:p>
    <w:p w14:paraId="18B17CE1">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3.2  适于在电源380V（10％）/50Hz、气温摄氏20±3℃和相对湿度小于80％的环境条件下运行。能够连续正常工作。</w:t>
      </w:r>
    </w:p>
    <w:p w14:paraId="1B517A2D">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3.3  配置符合中国有关标准要求的插头，如果没有这样的插头，则需提供适当的转换插座。</w:t>
      </w:r>
    </w:p>
    <w:p w14:paraId="69C1FCAB">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3.4  如产品达不到上述要求，供应商应注明其偏差。如仪器设备需要特殊工作条件（如水、电源、磁场强度、温度、湿度、动强度等）供应商应在投标书中加以说明。</w:t>
      </w:r>
    </w:p>
    <w:p w14:paraId="40137D3A">
      <w:pPr>
        <w:rPr>
          <w:rFonts w:hint="eastAsia"/>
          <w:color w:val="auto"/>
        </w:rPr>
      </w:pPr>
    </w:p>
    <w:p w14:paraId="2A51A154">
      <w:pPr>
        <w:spacing w:line="360" w:lineRule="auto"/>
        <w:ind w:left="601" w:hanging="601"/>
        <w:rPr>
          <w:rFonts w:hint="eastAsia" w:ascii="宋体" w:hAnsi="宋体" w:cs="宋体"/>
          <w:b/>
          <w:color w:val="auto"/>
          <w:sz w:val="24"/>
        </w:rPr>
      </w:pPr>
      <w:r>
        <w:rPr>
          <w:rFonts w:hint="eastAsia" w:ascii="宋体" w:hAnsi="宋体" w:cs="宋体"/>
          <w:b/>
          <w:color w:val="auto"/>
          <w:sz w:val="24"/>
        </w:rPr>
        <w:t>4、验收标准</w:t>
      </w:r>
    </w:p>
    <w:p w14:paraId="416C02A4">
      <w:pPr>
        <w:spacing w:line="360" w:lineRule="auto"/>
        <w:rPr>
          <w:rFonts w:hint="eastAsia" w:ascii="宋体" w:hAnsi="宋体" w:cs="宋体"/>
          <w:color w:val="auto"/>
          <w:sz w:val="24"/>
        </w:rPr>
      </w:pPr>
      <w:r>
        <w:rPr>
          <w:rFonts w:hint="eastAsia" w:ascii="宋体" w:hAnsi="宋体" w:cs="宋体"/>
          <w:color w:val="auto"/>
          <w:sz w:val="24"/>
        </w:rPr>
        <w:t xml:space="preserve">除非在具体要求中另有说明，所有仪器、设备和系统按下列要求进行验收： </w:t>
      </w:r>
    </w:p>
    <w:p w14:paraId="3C57BC57">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4.1  仪器设备运抵安装现场后，采购人将与供应商共同开箱验收, 如供应商届时不派人来, 则验收结果应以采购人的验收报告为最终验收结果。验收时发现短缺、破损, 采购人有权要求供应商负责更换。</w:t>
      </w:r>
    </w:p>
    <w:p w14:paraId="3F23B393">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4.2  验收标准以中标人提供的投标文件中所列的指标为准（该指标应不低于采购文件所要求的指标）。任何虚假指标响应一经发现即作废标，供应商必须承担由此给采购人带来的一切经济损失和其它相关责任。</w:t>
      </w:r>
    </w:p>
    <w:p w14:paraId="6E0276D7">
      <w:pPr>
        <w:spacing w:line="360" w:lineRule="auto"/>
        <w:ind w:left="554" w:hanging="554" w:hangingChars="231"/>
        <w:rPr>
          <w:rFonts w:hint="eastAsia" w:ascii="宋体" w:hAnsi="宋体" w:cs="宋体"/>
          <w:color w:val="auto"/>
          <w:sz w:val="24"/>
        </w:rPr>
      </w:pPr>
      <w:r>
        <w:rPr>
          <w:rFonts w:hint="eastAsia" w:ascii="宋体" w:hAnsi="宋体" w:cs="宋体"/>
          <w:color w:val="auto"/>
          <w:sz w:val="24"/>
        </w:rPr>
        <w:t>4.3  验收由采购人、中标人及相关人员依国家有关标准、合同及有关附件要求进行，验收完毕由采购人及中标人在验收报告上签名。</w:t>
      </w:r>
    </w:p>
    <w:p w14:paraId="7EFBCE33">
      <w:pPr>
        <w:rPr>
          <w:rFonts w:hint="eastAsia"/>
          <w:color w:val="auto"/>
        </w:rPr>
      </w:pPr>
    </w:p>
    <w:p w14:paraId="21B9FC9A">
      <w:pPr>
        <w:spacing w:line="360" w:lineRule="auto"/>
        <w:ind w:left="410" w:hanging="410" w:hangingChars="170"/>
        <w:rPr>
          <w:rFonts w:hint="eastAsia" w:ascii="宋体" w:hAnsi="宋体" w:cs="宋体"/>
          <w:b/>
          <w:color w:val="auto"/>
          <w:sz w:val="24"/>
        </w:rPr>
      </w:pPr>
      <w:r>
        <w:rPr>
          <w:rFonts w:hint="eastAsia" w:ascii="宋体" w:hAnsi="宋体" w:cs="宋体"/>
          <w:b/>
          <w:color w:val="auto"/>
          <w:sz w:val="24"/>
        </w:rPr>
        <w:t>5、本具体要求中标注“★”号的为实质性要求，不满足其投标将被拒绝。</w:t>
      </w:r>
    </w:p>
    <w:p w14:paraId="4BA223EC">
      <w:pPr>
        <w:rPr>
          <w:rFonts w:hint="eastAsia"/>
          <w:color w:val="auto"/>
        </w:rPr>
      </w:pPr>
    </w:p>
    <w:p w14:paraId="1BE92D73">
      <w:pPr>
        <w:spacing w:line="360" w:lineRule="auto"/>
        <w:rPr>
          <w:b/>
          <w:color w:val="auto"/>
          <w:sz w:val="24"/>
        </w:rPr>
      </w:pPr>
      <w:r>
        <w:rPr>
          <w:rFonts w:hint="eastAsia" w:ascii="宋体" w:hAnsi="宋体" w:cs="宋体"/>
          <w:b/>
          <w:color w:val="auto"/>
          <w:sz w:val="24"/>
        </w:rPr>
        <w:t>6、如在具体要求中有本总则不一致之处，以具体要求中的要求内容为准。</w:t>
      </w:r>
    </w:p>
    <w:p w14:paraId="0C4A8760">
      <w:pPr>
        <w:adjustRightInd w:val="0"/>
        <w:snapToGrid w:val="0"/>
        <w:spacing w:before="156" w:beforeLines="50" w:after="156" w:afterLines="50" w:line="360" w:lineRule="auto"/>
        <w:jc w:val="center"/>
        <w:rPr>
          <w:rFonts w:hint="eastAsia"/>
          <w:color w:val="auto"/>
        </w:rPr>
      </w:pPr>
      <w:r>
        <w:rPr>
          <w:b/>
          <w:color w:val="auto"/>
          <w:sz w:val="24"/>
        </w:rPr>
        <w:br w:type="page"/>
      </w:r>
      <w:r>
        <w:rPr>
          <w:rFonts w:hint="eastAsia" w:ascii="宋体" w:hAnsi="宋体"/>
          <w:b/>
          <w:color w:val="auto"/>
          <w:sz w:val="28"/>
          <w:szCs w:val="28"/>
        </w:rPr>
        <w:t>二、具体要求：</w:t>
      </w:r>
    </w:p>
    <w:p w14:paraId="14CBD8BD">
      <w:pPr>
        <w:jc w:val="center"/>
        <w:rPr>
          <w:b/>
          <w:color w:val="auto"/>
          <w:sz w:val="28"/>
          <w:szCs w:val="28"/>
        </w:rPr>
      </w:pPr>
      <w:r>
        <w:rPr>
          <w:rFonts w:hint="eastAsia"/>
          <w:b/>
          <w:color w:val="auto"/>
          <w:sz w:val="28"/>
          <w:szCs w:val="28"/>
        </w:rPr>
        <w:t>货物名称：表面活化晶圆键合设备</w:t>
      </w:r>
    </w:p>
    <w:p w14:paraId="1F5188E0">
      <w:pPr>
        <w:pStyle w:val="9"/>
        <w:ind w:firstLine="0" w:firstLineChars="0"/>
        <w:rPr>
          <w:rFonts w:hint="eastAsia" w:hAnsi="宋体"/>
          <w:color w:val="auto"/>
        </w:rPr>
      </w:pPr>
    </w:p>
    <w:p w14:paraId="3C676EC6">
      <w:pPr>
        <w:rPr>
          <w:rFonts w:hint="eastAsia"/>
          <w:b/>
          <w:bCs/>
          <w:color w:val="auto"/>
          <w:sz w:val="28"/>
          <w:szCs w:val="28"/>
        </w:rPr>
      </w:pPr>
      <w:r>
        <w:rPr>
          <w:rFonts w:hint="eastAsia"/>
          <w:b/>
          <w:bCs/>
          <w:color w:val="auto"/>
          <w:sz w:val="28"/>
          <w:szCs w:val="28"/>
        </w:rPr>
        <w:t>（一）技术要求</w:t>
      </w:r>
    </w:p>
    <w:p w14:paraId="27627998">
      <w:pPr>
        <w:pStyle w:val="2"/>
        <w:spacing w:after="0" w:line="360" w:lineRule="auto"/>
        <w:ind w:left="0" w:leftChars="0" w:firstLine="0" w:firstLineChars="0"/>
        <w:rPr>
          <w:rFonts w:hint="eastAsia" w:ascii="宋体" w:hAnsi="宋体" w:cs="宋体"/>
          <w:b/>
          <w:color w:val="auto"/>
          <w:sz w:val="24"/>
        </w:rPr>
      </w:pPr>
      <w:r>
        <w:rPr>
          <w:rFonts w:hint="eastAsia" w:ascii="宋体" w:hAnsi="宋体" w:cs="宋体"/>
          <w:b/>
          <w:color w:val="auto"/>
          <w:sz w:val="24"/>
        </w:rPr>
        <w:t>1、工作条件：</w:t>
      </w:r>
    </w:p>
    <w:p w14:paraId="3AFFAEB4">
      <w:pPr>
        <w:spacing w:line="360" w:lineRule="auto"/>
        <w:ind w:firstLine="480" w:firstLineChars="200"/>
        <w:rPr>
          <w:rFonts w:hint="eastAsia" w:ascii="宋体" w:hAnsi="宋体" w:cs="宋体"/>
          <w:color w:val="auto"/>
          <w:sz w:val="24"/>
        </w:rPr>
      </w:pPr>
      <w:r>
        <w:rPr>
          <w:rFonts w:hint="eastAsia" w:ascii="宋体" w:hAnsi="宋体" w:cs="宋体"/>
          <w:color w:val="auto"/>
          <w:sz w:val="24"/>
        </w:rPr>
        <w:t>1.1 洁净室等级：百级洁净等级</w:t>
      </w:r>
    </w:p>
    <w:p w14:paraId="72C79A36">
      <w:pPr>
        <w:spacing w:line="360" w:lineRule="auto"/>
        <w:ind w:firstLine="480" w:firstLineChars="200"/>
        <w:rPr>
          <w:rFonts w:hint="eastAsia" w:ascii="宋体" w:hAnsi="宋体" w:cs="宋体"/>
          <w:color w:val="auto"/>
          <w:sz w:val="24"/>
        </w:rPr>
      </w:pPr>
      <w:r>
        <w:rPr>
          <w:rFonts w:hint="eastAsia" w:ascii="宋体" w:hAnsi="宋体" w:cs="宋体"/>
          <w:color w:val="auto"/>
          <w:sz w:val="24"/>
        </w:rPr>
        <w:t>1.2 车间放置位置：隔振等级VC-A</w:t>
      </w:r>
    </w:p>
    <w:p w14:paraId="2A43C33B">
      <w:pPr>
        <w:spacing w:line="360" w:lineRule="auto"/>
        <w:ind w:firstLine="480" w:firstLineChars="200"/>
        <w:rPr>
          <w:rFonts w:hint="eastAsia" w:ascii="宋体" w:hAnsi="宋体" w:cs="宋体"/>
          <w:color w:val="auto"/>
          <w:sz w:val="24"/>
        </w:rPr>
      </w:pPr>
      <w:r>
        <w:rPr>
          <w:rFonts w:hint="eastAsia" w:ascii="宋体" w:hAnsi="宋体" w:cs="宋体"/>
          <w:color w:val="auto"/>
          <w:sz w:val="24"/>
        </w:rPr>
        <w:t>1.3 电力：三相380V 50Hz</w:t>
      </w:r>
    </w:p>
    <w:p w14:paraId="29D7FE08">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1.4 温度：22±1℃ </w:t>
      </w:r>
    </w:p>
    <w:p w14:paraId="4D1482C7">
      <w:pPr>
        <w:spacing w:line="360" w:lineRule="auto"/>
        <w:ind w:firstLine="480" w:firstLineChars="200"/>
        <w:rPr>
          <w:rFonts w:hint="eastAsia" w:ascii="宋体" w:hAnsi="宋体" w:cs="宋体"/>
          <w:color w:val="auto"/>
          <w:sz w:val="24"/>
        </w:rPr>
      </w:pPr>
      <w:r>
        <w:rPr>
          <w:rFonts w:hint="eastAsia" w:ascii="宋体" w:hAnsi="宋体" w:cs="宋体"/>
          <w:color w:val="auto"/>
          <w:sz w:val="24"/>
        </w:rPr>
        <w:t>1.5 湿度：45±5%</w:t>
      </w:r>
    </w:p>
    <w:p w14:paraId="049E4DAF">
      <w:pPr>
        <w:spacing w:line="360" w:lineRule="auto"/>
        <w:ind w:firstLine="480" w:firstLineChars="200"/>
        <w:rPr>
          <w:rFonts w:hint="eastAsia" w:ascii="宋体" w:hAnsi="宋体" w:cs="宋体"/>
          <w:color w:val="auto"/>
          <w:sz w:val="24"/>
        </w:rPr>
      </w:pPr>
      <w:r>
        <w:rPr>
          <w:rFonts w:hint="eastAsia" w:ascii="宋体" w:hAnsi="宋体" w:cs="宋体"/>
          <w:color w:val="auto"/>
          <w:sz w:val="24"/>
        </w:rPr>
        <w:t>1.6 PCW：压力0.5±0.05MPa，温度20±3℃</w:t>
      </w:r>
    </w:p>
    <w:p w14:paraId="6EF05CED">
      <w:pPr>
        <w:spacing w:line="360" w:lineRule="auto"/>
        <w:ind w:firstLine="480" w:firstLineChars="200"/>
        <w:rPr>
          <w:rFonts w:hint="eastAsia" w:ascii="宋体" w:hAnsi="宋体" w:cs="宋体"/>
          <w:color w:val="auto"/>
          <w:sz w:val="24"/>
        </w:rPr>
      </w:pPr>
      <w:r>
        <w:rPr>
          <w:rFonts w:hint="eastAsia" w:ascii="宋体" w:hAnsi="宋体" w:cs="宋体"/>
          <w:color w:val="auto"/>
          <w:sz w:val="24"/>
        </w:rPr>
        <w:t>1.7 PV：压力&lt;-0.09MPa</w:t>
      </w:r>
    </w:p>
    <w:p w14:paraId="735FBBEA">
      <w:pPr>
        <w:spacing w:line="360" w:lineRule="auto"/>
        <w:ind w:firstLine="480" w:firstLineChars="200"/>
        <w:rPr>
          <w:rFonts w:hint="eastAsia" w:ascii="宋体" w:hAnsi="宋体" w:cs="宋体"/>
          <w:color w:val="auto"/>
          <w:sz w:val="24"/>
        </w:rPr>
      </w:pPr>
      <w:r>
        <w:rPr>
          <w:rFonts w:hint="eastAsia" w:ascii="宋体" w:hAnsi="宋体" w:cs="宋体"/>
          <w:color w:val="auto"/>
          <w:sz w:val="24"/>
        </w:rPr>
        <w:t>1.8 CDA：压力&gt;0.6MPa，露点温度＜-60℃</w:t>
      </w:r>
    </w:p>
    <w:p w14:paraId="582B4C42">
      <w:pPr>
        <w:spacing w:line="360" w:lineRule="auto"/>
        <w:ind w:firstLine="480" w:firstLineChars="200"/>
        <w:rPr>
          <w:rFonts w:hint="eastAsia" w:ascii="宋体" w:hAnsi="宋体" w:cs="宋体"/>
          <w:color w:val="auto"/>
          <w:sz w:val="24"/>
        </w:rPr>
      </w:pPr>
      <w:r>
        <w:rPr>
          <w:rFonts w:hint="eastAsia" w:ascii="宋体" w:hAnsi="宋体" w:cs="宋体"/>
          <w:color w:val="auto"/>
          <w:sz w:val="24"/>
        </w:rPr>
        <w:t>1.9 GN2:纯度5N，压力0.2-0.5 MPa</w:t>
      </w:r>
    </w:p>
    <w:p w14:paraId="1DE163F1">
      <w:pPr>
        <w:spacing w:line="360" w:lineRule="auto"/>
        <w:ind w:firstLine="480" w:firstLineChars="200"/>
        <w:rPr>
          <w:rFonts w:hint="eastAsia" w:ascii="宋体" w:hAnsi="宋体" w:cs="宋体"/>
          <w:color w:val="auto"/>
          <w:sz w:val="24"/>
        </w:rPr>
      </w:pPr>
      <w:r>
        <w:rPr>
          <w:rFonts w:hint="eastAsia" w:ascii="宋体" w:hAnsi="宋体" w:cs="宋体"/>
          <w:color w:val="auto"/>
          <w:sz w:val="24"/>
        </w:rPr>
        <w:t>1.10 GEX：压力-200Pa</w:t>
      </w:r>
    </w:p>
    <w:p w14:paraId="7781917C">
      <w:pPr>
        <w:spacing w:line="360" w:lineRule="auto"/>
        <w:ind w:firstLine="480" w:firstLineChars="200"/>
        <w:rPr>
          <w:rFonts w:hint="eastAsia" w:ascii="宋体" w:hAnsi="宋体" w:cs="宋体"/>
          <w:color w:val="auto"/>
          <w:position w:val="-20"/>
          <w:sz w:val="24"/>
        </w:rPr>
      </w:pPr>
      <w:r>
        <w:rPr>
          <w:rFonts w:hint="eastAsia" w:ascii="宋体" w:hAnsi="宋体" w:cs="宋体"/>
          <w:color w:val="auto"/>
          <w:sz w:val="24"/>
        </w:rPr>
        <w:t>1.11 工艺气体氩气：纯度6N，压力0.1-0.3MPa</w:t>
      </w:r>
    </w:p>
    <w:p w14:paraId="310907B7">
      <w:pPr>
        <w:rPr>
          <w:rFonts w:hint="eastAsia"/>
          <w:color w:val="auto"/>
        </w:rPr>
      </w:pPr>
    </w:p>
    <w:p w14:paraId="6D6CFD43">
      <w:pPr>
        <w:widowControl/>
        <w:spacing w:line="360" w:lineRule="auto"/>
        <w:rPr>
          <w:rFonts w:hint="eastAsia" w:ascii="宋体" w:hAnsi="宋体" w:cs="宋体"/>
          <w:b/>
          <w:color w:val="auto"/>
          <w:sz w:val="24"/>
        </w:rPr>
      </w:pPr>
      <w:r>
        <w:rPr>
          <w:rFonts w:hint="eastAsia" w:ascii="宋体" w:hAnsi="宋体" w:cs="宋体"/>
          <w:b/>
          <w:color w:val="auto"/>
          <w:sz w:val="24"/>
        </w:rPr>
        <w:t>2、购置理由及用途：</w:t>
      </w:r>
    </w:p>
    <w:p w14:paraId="200720C6">
      <w:pPr>
        <w:pStyle w:val="10"/>
        <w:widowControl/>
        <w:adjustRightInd/>
        <w:snapToGrid/>
        <w:rPr>
          <w:rFonts w:hint="eastAsia" w:ascii="宋体" w:hAnsi="宋体" w:cs="宋体"/>
          <w:color w:val="auto"/>
        </w:rPr>
      </w:pPr>
      <w:r>
        <w:rPr>
          <w:rFonts w:hint="eastAsia" w:ascii="宋体" w:hAnsi="宋体" w:cs="宋体"/>
          <w:color w:val="auto"/>
        </w:rPr>
        <w:t>表面活化晶圆键合设备用于实现化合物半导体与高导热衬底材料的常温表面活化键合。</w:t>
      </w:r>
    </w:p>
    <w:p w14:paraId="29F100C1">
      <w:pPr>
        <w:rPr>
          <w:rFonts w:hint="eastAsia"/>
          <w:color w:val="auto"/>
        </w:rPr>
      </w:pPr>
    </w:p>
    <w:p w14:paraId="05DF5736">
      <w:pPr>
        <w:widowControl/>
        <w:tabs>
          <w:tab w:val="left" w:pos="8010"/>
        </w:tabs>
        <w:spacing w:line="360" w:lineRule="auto"/>
        <w:rPr>
          <w:rFonts w:hint="eastAsia" w:ascii="宋体" w:hAnsi="宋体" w:cs="宋体"/>
          <w:color w:val="auto"/>
          <w:sz w:val="24"/>
        </w:rPr>
      </w:pPr>
      <w:r>
        <w:rPr>
          <w:rFonts w:hint="eastAsia" w:ascii="宋体" w:hAnsi="宋体" w:cs="宋体"/>
          <w:b/>
          <w:color w:val="auto"/>
          <w:sz w:val="24"/>
        </w:rPr>
        <w:t>3、技术要求及参数：</w:t>
      </w:r>
      <w:r>
        <w:rPr>
          <w:rFonts w:hint="eastAsia" w:ascii="宋体" w:hAnsi="宋体" w:cs="宋体"/>
          <w:color w:val="auto"/>
          <w:sz w:val="24"/>
        </w:rPr>
        <w:t xml:space="preserve"> </w:t>
      </w:r>
    </w:p>
    <w:p w14:paraId="116A0337">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3.1设备总体技术要求：</w:t>
      </w:r>
    </w:p>
    <w:p w14:paraId="3C9401AE">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3.1.1设备功能和系统组成：用于实现表面活化晶圆键合工艺，最大可放入6英寸晶圆。设备主要由上料模块、传输模块、键合模块(含加压键合、对准、活化等)、控制模块等部分组成。可满足室温条件下键合工艺，具备自动加工能力。</w:t>
      </w:r>
    </w:p>
    <w:p w14:paraId="17F85D78">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3.2详细需求如下：</w:t>
      </w:r>
    </w:p>
    <w:p w14:paraId="247B51DD">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★3.2.1晶圆加工尺寸：6英寸及向下兼容（圆片：2英寸、4英寸、6英寸）</w:t>
      </w:r>
    </w:p>
    <w:p w14:paraId="684AFF0C">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★3.2.2可在室温实现晶圆键合</w:t>
      </w:r>
    </w:p>
    <w:p w14:paraId="2A8436F9">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▲3.2.3 加工材料：Si、SiC、SiO</w:t>
      </w:r>
      <w:r>
        <w:rPr>
          <w:rFonts w:hint="eastAsia" w:ascii="宋体" w:hAnsi="宋体" w:cs="宋体"/>
          <w:color w:val="auto"/>
          <w:sz w:val="24"/>
          <w:szCs w:val="24"/>
          <w:vertAlign w:val="subscript"/>
        </w:rPr>
        <w:t>2</w:t>
      </w:r>
      <w:r>
        <w:rPr>
          <w:rFonts w:hint="eastAsia" w:ascii="宋体" w:hAnsi="宋体" w:cs="宋体"/>
          <w:color w:val="auto"/>
          <w:sz w:val="24"/>
          <w:szCs w:val="24"/>
        </w:rPr>
        <w:t>、钽酸锂、铌酸锂等材料</w:t>
      </w:r>
    </w:p>
    <w:p w14:paraId="1CA4DCD8">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3.2.4 上料模块</w:t>
      </w:r>
    </w:p>
    <w:p w14:paraId="62311146">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3.2.4.1上料模块至少包括上料腔体、升降模块、真空获得系统等部分组成</w:t>
      </w:r>
    </w:p>
    <w:p w14:paraId="59AAF164">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▲3.2.4.2上料方式：自制暗盒+托盘上料方式</w:t>
      </w:r>
    </w:p>
    <w:p w14:paraId="4AA980AA">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3.2.4.3上料腔体：支持快速抽真空与破真空操作，腔体集成高精度Mapping检测功能，可自动对托盘进行有无识别与位置校验</w:t>
      </w:r>
    </w:p>
    <w:p w14:paraId="50142034">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3.2.4.4升降模块：实现暗盒与托盘在层结构间的精准定位与平稳升降</w:t>
      </w:r>
    </w:p>
    <w:p w14:paraId="1FA8F2B0">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▲3.2.4.5真空获得系统：由干泵与分子泵组成双级真空机组</w:t>
      </w:r>
    </w:p>
    <w:p w14:paraId="2E6C4A8C">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3.2.5 传输模块</w:t>
      </w:r>
    </w:p>
    <w:p w14:paraId="4EDD4682">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3.2.5.1传输模块至少包括传输腔体、真空机械手及真空获得系统等部分</w:t>
      </w:r>
    </w:p>
    <w:p w14:paraId="73CEA8C6">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3.2.5.2传输腔体：传输腔体为不锈钢材质，腔泄漏率≤2E-8Pa·m</w:t>
      </w:r>
      <w:r>
        <w:rPr>
          <w:rFonts w:hint="eastAsia" w:ascii="宋体" w:hAnsi="宋体" w:cs="宋体"/>
          <w:color w:val="auto"/>
          <w:sz w:val="24"/>
          <w:szCs w:val="24"/>
          <w:vertAlign w:val="superscript"/>
        </w:rPr>
        <w:t>3</w:t>
      </w:r>
      <w:r>
        <w:rPr>
          <w:rFonts w:hint="eastAsia" w:ascii="宋体" w:hAnsi="宋体" w:cs="宋体"/>
          <w:color w:val="auto"/>
          <w:sz w:val="24"/>
          <w:szCs w:val="24"/>
        </w:rPr>
        <w:t>/s</w:t>
      </w:r>
    </w:p>
    <w:p w14:paraId="70AD3591">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▲3.2.5.3真空机械手：采用腔内置式真空机械手臂，机械手重复定位精度为±0.1mm</w:t>
      </w:r>
    </w:p>
    <w:p w14:paraId="2586824D">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 xml:space="preserve">▲3.2.5.4真空获得系统：采用独立配置的干泵与分子泵双级真空机组 </w:t>
      </w:r>
    </w:p>
    <w:p w14:paraId="492EFA26">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 键合模块</w:t>
      </w:r>
    </w:p>
    <w:p w14:paraId="5E4ACE03">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3.2.6.1键合模块至少包含键合腔体、表面活化系统、加压机构、视觉对正系统、对准平台机构、工艺气路系统、真空获得系统等部分</w:t>
      </w:r>
    </w:p>
    <w:p w14:paraId="50B0E669">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3.2.6.2键合腔体：腔体为不锈钢材质，腔体漏率≤1E-8Pa·m</w:t>
      </w:r>
      <w:r>
        <w:rPr>
          <w:rFonts w:hint="eastAsia" w:ascii="宋体" w:hAnsi="宋体" w:cs="宋体"/>
          <w:color w:val="auto"/>
          <w:sz w:val="24"/>
          <w:szCs w:val="24"/>
          <w:vertAlign w:val="superscript"/>
        </w:rPr>
        <w:t>3</w:t>
      </w:r>
      <w:r>
        <w:rPr>
          <w:rFonts w:hint="eastAsia" w:ascii="宋体" w:hAnsi="宋体" w:cs="宋体"/>
          <w:color w:val="auto"/>
          <w:sz w:val="24"/>
          <w:szCs w:val="24"/>
        </w:rPr>
        <w:t>/s</w:t>
      </w:r>
    </w:p>
    <w:p w14:paraId="5CF3A1EC">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★3.2.6.3加压机构：采用高精度伺服压机系统，键合压力范围1kN-100kN</w:t>
      </w:r>
    </w:p>
    <w:p w14:paraId="22743802">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3.2.6.4对准模块：包含高分辨率光学成像视觉对正系统与精密对准平台等部分，支持近红外或可见光对准模式，支持X/Y/θ方向精密移动与旋转调节</w:t>
      </w:r>
    </w:p>
    <w:p w14:paraId="4BFC7494">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★3.2.6.5设备支持两种对准模式：边缘对准精度：≤50μm（6英寸标准Si片，主定位边长度47.5mm）；标记（Mark）对准：≤±2μm；（6英寸标准Si片）</w:t>
      </w:r>
    </w:p>
    <w:p w14:paraId="1F1DDEAE">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3.2.6.6表面活化系统：可对晶圆表面进行活化处理，有效去除表面氧化物、有机污染物与弱结合层</w:t>
      </w:r>
    </w:p>
    <w:p w14:paraId="536561B8">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▲3.2.6.7样品活化方式:使用快速原子束进行活化</w:t>
      </w:r>
    </w:p>
    <w:p w14:paraId="4E570A91">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▲3.2.6.8键合强度:常温下键合Si-Si≥1.8J/m</w:t>
      </w:r>
      <w:r>
        <w:rPr>
          <w:rFonts w:hint="eastAsia" w:ascii="宋体" w:hAnsi="宋体" w:cs="宋体"/>
          <w:color w:val="auto"/>
          <w:sz w:val="24"/>
          <w:szCs w:val="24"/>
          <w:vertAlign w:val="superscript"/>
        </w:rPr>
        <w:t>2</w:t>
      </w:r>
      <w:r>
        <w:rPr>
          <w:rFonts w:hint="eastAsia" w:ascii="宋体" w:hAnsi="宋体" w:cs="宋体"/>
          <w:color w:val="auto"/>
          <w:sz w:val="24"/>
          <w:szCs w:val="24"/>
        </w:rPr>
        <w:t>@RT</w:t>
      </w:r>
    </w:p>
    <w:p w14:paraId="1A2AD6CC">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▲3.2.6.9上晶圆由上压头ESC静电卡盘牢固吸附，下晶圆放置在对准平台上</w:t>
      </w:r>
    </w:p>
    <w:p w14:paraId="178FEC07">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3.2.6.10工艺气路系统：表面活化单元搭配高精度质量流量控制器，实现工艺气体Ar稳定可控供给</w:t>
      </w:r>
    </w:p>
    <w:p w14:paraId="178F0F7A">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 xml:space="preserve">★3.2.6.11 真空获得系统：采用独立配置的干泵与分子泵双级真空机组，可快速将腔体压力降至超高真空区间，腔室极限真空度≤1E-5Pa </w:t>
      </w:r>
    </w:p>
    <w:p w14:paraId="51286349">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3.2.7控制模块</w:t>
      </w:r>
    </w:p>
    <w:p w14:paraId="2FDFCCE3">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3.2.7.1控制模块至少包含操作台、电气柜、系统软件等部分</w:t>
      </w:r>
    </w:p>
    <w:p w14:paraId="3FA3F439">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▲3.2.7.2操作台：采用坐站两用工作台设计，操作台配备双屏显示界面，用于在设备本地完成键合机的自动/手动操作，满足现场操控需求。</w:t>
      </w:r>
    </w:p>
    <w:p w14:paraId="344107FA">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3.2.7.3电气柜：负责从厂务端接入供电线缆，并为各电子元器件分配供电。</w:t>
      </w:r>
    </w:p>
    <w:p w14:paraId="0EF5A216">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3.2.8系统软件：</w:t>
      </w:r>
    </w:p>
    <w:p w14:paraId="6C85D811">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3.2.8.1设备搭载工控系统，操作系统采用正版Windows10及以上版本，软件界面简洁、功能完善、操作便捷、响应迅速且运行稳定无缺陷。</w:t>
      </w:r>
    </w:p>
    <w:p w14:paraId="309E7BAE">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3.2.8.2软件设置三级及以上用户控制权限，支持操作员(OP)、维护人员(ME)、工艺工程师(PE)、超级管理员(ADMINISTRATOR)等多等级管理，各等级权限可由超级管理员自定义配置，针对配方(recipe)与参数(parameter)设置分级操作权限，并提供密码保护。</w:t>
      </w:r>
    </w:p>
    <w:p w14:paraId="7CD2AACD">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★3.2.8.3支持配方(recipe)与参数(parameter)的导出功能（excel、txt等通用格式）</w:t>
      </w:r>
    </w:p>
    <w:p w14:paraId="1A758143">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3.2.8.4系统具备完整监控能力，可实时显示故障详情、传感器输入、阀状态、仪表读数等信息，同时实时记录设备运行周期内的操作轨迹。</w:t>
      </w:r>
    </w:p>
    <w:p w14:paraId="750C0AD9">
      <w:pPr>
        <w:pStyle w:val="11"/>
        <w:spacing w:line="360" w:lineRule="auto"/>
        <w:ind w:left="0" w:firstLine="240" w:firstLineChars="100"/>
        <w:rPr>
          <w:rFonts w:hint="eastAsia" w:ascii="宋体" w:hAnsi="宋体" w:cs="宋体"/>
          <w:color w:val="auto"/>
          <w:sz w:val="24"/>
          <w:szCs w:val="24"/>
        </w:rPr>
      </w:pPr>
      <w:r>
        <w:rPr>
          <w:rFonts w:hint="eastAsia" w:ascii="宋体" w:hAnsi="宋体" w:cs="宋体"/>
          <w:color w:val="auto"/>
          <w:sz w:val="24"/>
          <w:szCs w:val="24"/>
        </w:rPr>
        <w:t>▲3.2.8.5设备报警及运行日志可在工控机内存储至少3个月，支持随时调用查看。</w:t>
      </w:r>
    </w:p>
    <w:p w14:paraId="77AED0AB">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3.2.8.6软件支持中文或英文界面，可通过局域网实现运行参数、日志下载及软件升级服务。</w:t>
      </w:r>
    </w:p>
    <w:p w14:paraId="7E787306">
      <w:pPr>
        <w:pStyle w:val="11"/>
        <w:spacing w:line="360" w:lineRule="auto"/>
        <w:ind w:left="0" w:firstLine="480" w:firstLineChars="200"/>
        <w:rPr>
          <w:rFonts w:hint="eastAsia" w:ascii="宋体" w:hAnsi="宋体" w:cs="宋体"/>
          <w:color w:val="auto"/>
          <w:sz w:val="24"/>
          <w:szCs w:val="24"/>
        </w:rPr>
      </w:pPr>
      <w:r>
        <w:rPr>
          <w:rFonts w:hint="eastAsia" w:ascii="宋体" w:hAnsi="宋体" w:cs="宋体"/>
          <w:color w:val="auto"/>
          <w:sz w:val="24"/>
          <w:szCs w:val="24"/>
        </w:rPr>
        <w:t>3.2.8.7若出现软件漏洞、安全机制不完善、稳定性不佳等问题，需方可要求供方升级。</w:t>
      </w:r>
    </w:p>
    <w:p w14:paraId="6A4D9108">
      <w:pPr>
        <w:rPr>
          <w:rFonts w:hint="eastAsia"/>
          <w:color w:val="auto"/>
        </w:rPr>
      </w:pPr>
    </w:p>
    <w:p w14:paraId="749FD2F1">
      <w:pPr>
        <w:widowControl/>
        <w:snapToGrid w:val="0"/>
        <w:spacing w:before="156" w:beforeLines="50" w:line="360" w:lineRule="auto"/>
        <w:rPr>
          <w:b/>
          <w:color w:val="auto"/>
          <w:sz w:val="24"/>
        </w:rPr>
      </w:pPr>
      <w:r>
        <w:rPr>
          <w:rFonts w:hint="eastAsia" w:ascii="宋体" w:hAnsi="宋体" w:cs="宋体"/>
          <w:color w:val="auto"/>
          <w:sz w:val="24"/>
        </w:rPr>
        <w:t>★</w:t>
      </w:r>
      <w:r>
        <w:rPr>
          <w:b/>
          <w:color w:val="auto"/>
          <w:sz w:val="24"/>
        </w:rPr>
        <w:t>4、配置清单及零配件（包括专用工具）：</w:t>
      </w:r>
    </w:p>
    <w:tbl>
      <w:tblPr>
        <w:tblStyle w:val="7"/>
        <w:tblW w:w="9075" w:type="dxa"/>
        <w:tblInd w:w="108" w:type="dxa"/>
        <w:tblLayout w:type="fixed"/>
        <w:tblCellMar>
          <w:top w:w="0" w:type="dxa"/>
          <w:left w:w="108" w:type="dxa"/>
          <w:bottom w:w="0" w:type="dxa"/>
          <w:right w:w="108" w:type="dxa"/>
        </w:tblCellMar>
      </w:tblPr>
      <w:tblGrid>
        <w:gridCol w:w="987"/>
        <w:gridCol w:w="2053"/>
        <w:gridCol w:w="4120"/>
        <w:gridCol w:w="934"/>
        <w:gridCol w:w="981"/>
      </w:tblGrid>
      <w:tr w14:paraId="4FDAFC53">
        <w:tblPrEx>
          <w:tblCellMar>
            <w:top w:w="0" w:type="dxa"/>
            <w:left w:w="108" w:type="dxa"/>
            <w:bottom w:w="0" w:type="dxa"/>
            <w:right w:w="108" w:type="dxa"/>
          </w:tblCellMar>
        </w:tblPrEx>
        <w:trPr>
          <w:trHeight w:val="536" w:hRule="atLeast"/>
        </w:trPr>
        <w:tc>
          <w:tcPr>
            <w:tcW w:w="987" w:type="dxa"/>
            <w:tcBorders>
              <w:top w:val="single" w:color="auto" w:sz="4" w:space="0"/>
              <w:left w:val="single" w:color="auto" w:sz="4" w:space="0"/>
              <w:bottom w:val="single" w:color="auto" w:sz="4" w:space="0"/>
              <w:right w:val="single" w:color="auto" w:sz="4" w:space="0"/>
            </w:tcBorders>
            <w:noWrap/>
            <w:vAlign w:val="center"/>
          </w:tcPr>
          <w:p w14:paraId="388698E0">
            <w:pPr>
              <w:widowControl/>
              <w:snapToGrid w:val="0"/>
              <w:spacing w:before="156" w:beforeLines="50" w:line="360" w:lineRule="auto"/>
              <w:jc w:val="center"/>
              <w:rPr>
                <w:b/>
                <w:bCs/>
                <w:color w:val="auto"/>
                <w:sz w:val="24"/>
              </w:rPr>
            </w:pPr>
            <w:r>
              <w:rPr>
                <w:b/>
                <w:bCs/>
                <w:color w:val="auto"/>
                <w:sz w:val="24"/>
              </w:rPr>
              <w:t>序号</w:t>
            </w:r>
          </w:p>
        </w:tc>
        <w:tc>
          <w:tcPr>
            <w:tcW w:w="6173" w:type="dxa"/>
            <w:gridSpan w:val="2"/>
            <w:tcBorders>
              <w:top w:val="single" w:color="auto" w:sz="4" w:space="0"/>
              <w:left w:val="nil"/>
              <w:bottom w:val="single" w:color="auto" w:sz="4" w:space="0"/>
              <w:right w:val="single" w:color="auto" w:sz="4" w:space="0"/>
            </w:tcBorders>
            <w:noWrap/>
            <w:vAlign w:val="center"/>
          </w:tcPr>
          <w:p w14:paraId="6480B33E">
            <w:pPr>
              <w:snapToGrid w:val="0"/>
              <w:spacing w:before="156" w:beforeLines="50" w:line="360" w:lineRule="auto"/>
              <w:jc w:val="center"/>
              <w:rPr>
                <w:b/>
                <w:bCs/>
                <w:color w:val="auto"/>
                <w:sz w:val="24"/>
              </w:rPr>
            </w:pPr>
            <w:r>
              <w:rPr>
                <w:b/>
                <w:bCs/>
                <w:color w:val="auto"/>
                <w:sz w:val="24"/>
              </w:rPr>
              <w:t>名称</w:t>
            </w:r>
          </w:p>
        </w:tc>
        <w:tc>
          <w:tcPr>
            <w:tcW w:w="934" w:type="dxa"/>
            <w:tcBorders>
              <w:top w:val="single" w:color="auto" w:sz="4" w:space="0"/>
              <w:left w:val="nil"/>
              <w:bottom w:val="single" w:color="auto" w:sz="4" w:space="0"/>
              <w:right w:val="single" w:color="auto" w:sz="4" w:space="0"/>
            </w:tcBorders>
            <w:noWrap/>
            <w:vAlign w:val="center"/>
          </w:tcPr>
          <w:p w14:paraId="0DBBC515">
            <w:pPr>
              <w:snapToGrid w:val="0"/>
              <w:spacing w:before="156" w:beforeLines="50" w:line="360" w:lineRule="auto"/>
              <w:jc w:val="center"/>
              <w:rPr>
                <w:b/>
                <w:bCs/>
                <w:color w:val="auto"/>
                <w:sz w:val="24"/>
              </w:rPr>
            </w:pPr>
            <w:r>
              <w:rPr>
                <w:b/>
                <w:bCs/>
                <w:color w:val="auto"/>
                <w:sz w:val="24"/>
              </w:rPr>
              <w:t>单位</w:t>
            </w:r>
          </w:p>
        </w:tc>
        <w:tc>
          <w:tcPr>
            <w:tcW w:w="981" w:type="dxa"/>
            <w:tcBorders>
              <w:top w:val="single" w:color="auto" w:sz="4" w:space="0"/>
              <w:left w:val="nil"/>
              <w:bottom w:val="single" w:color="auto" w:sz="4" w:space="0"/>
              <w:right w:val="single" w:color="auto" w:sz="4" w:space="0"/>
            </w:tcBorders>
            <w:noWrap/>
            <w:vAlign w:val="center"/>
          </w:tcPr>
          <w:p w14:paraId="13AEAEB4">
            <w:pPr>
              <w:snapToGrid w:val="0"/>
              <w:spacing w:before="156" w:beforeLines="50" w:line="360" w:lineRule="auto"/>
              <w:jc w:val="center"/>
              <w:rPr>
                <w:b/>
                <w:bCs/>
                <w:color w:val="auto"/>
                <w:sz w:val="24"/>
              </w:rPr>
            </w:pPr>
            <w:r>
              <w:rPr>
                <w:b/>
                <w:bCs/>
                <w:color w:val="auto"/>
                <w:sz w:val="24"/>
              </w:rPr>
              <w:t>数量</w:t>
            </w:r>
          </w:p>
        </w:tc>
      </w:tr>
      <w:tr w14:paraId="081E9CE3">
        <w:tblPrEx>
          <w:tblCellMar>
            <w:top w:w="0" w:type="dxa"/>
            <w:left w:w="108" w:type="dxa"/>
            <w:bottom w:w="0" w:type="dxa"/>
            <w:right w:w="108" w:type="dxa"/>
          </w:tblCellMar>
        </w:tblPrEx>
        <w:trPr>
          <w:trHeight w:val="285" w:hRule="atLeast"/>
        </w:trPr>
        <w:tc>
          <w:tcPr>
            <w:tcW w:w="987" w:type="dxa"/>
            <w:vMerge w:val="restart"/>
            <w:tcBorders>
              <w:top w:val="nil"/>
              <w:left w:val="single" w:color="auto" w:sz="4" w:space="0"/>
              <w:bottom w:val="single" w:color="auto" w:sz="4" w:space="0"/>
              <w:right w:val="single" w:color="auto" w:sz="4" w:space="0"/>
            </w:tcBorders>
            <w:noWrap/>
            <w:vAlign w:val="center"/>
          </w:tcPr>
          <w:p w14:paraId="4932050E">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c>
          <w:tcPr>
            <w:tcW w:w="2053" w:type="dxa"/>
            <w:vMerge w:val="restart"/>
            <w:tcBorders>
              <w:top w:val="nil"/>
              <w:left w:val="single" w:color="auto" w:sz="4" w:space="0"/>
              <w:bottom w:val="single" w:color="auto" w:sz="4" w:space="0"/>
              <w:right w:val="single" w:color="auto" w:sz="4" w:space="0"/>
            </w:tcBorders>
            <w:noWrap/>
            <w:vAlign w:val="center"/>
          </w:tcPr>
          <w:p w14:paraId="312C65D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上料模块</w:t>
            </w:r>
          </w:p>
        </w:tc>
        <w:tc>
          <w:tcPr>
            <w:tcW w:w="4120" w:type="dxa"/>
            <w:tcBorders>
              <w:top w:val="nil"/>
              <w:left w:val="nil"/>
              <w:bottom w:val="single" w:color="auto" w:sz="4" w:space="0"/>
              <w:right w:val="single" w:color="auto" w:sz="4" w:space="0"/>
            </w:tcBorders>
            <w:noWrap/>
            <w:vAlign w:val="center"/>
          </w:tcPr>
          <w:p w14:paraId="337C6E24">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上料腔体</w:t>
            </w:r>
          </w:p>
        </w:tc>
        <w:tc>
          <w:tcPr>
            <w:tcW w:w="934" w:type="dxa"/>
            <w:tcBorders>
              <w:top w:val="nil"/>
              <w:left w:val="nil"/>
              <w:bottom w:val="single" w:color="auto" w:sz="4" w:space="0"/>
              <w:right w:val="single" w:color="auto" w:sz="4" w:space="0"/>
            </w:tcBorders>
            <w:noWrap/>
            <w:vAlign w:val="center"/>
          </w:tcPr>
          <w:p w14:paraId="7684A325">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768E2DA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31CB9E9F">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6BF70CDA">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23A97284">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72C8384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分子泵</w:t>
            </w:r>
          </w:p>
        </w:tc>
        <w:tc>
          <w:tcPr>
            <w:tcW w:w="934" w:type="dxa"/>
            <w:tcBorders>
              <w:top w:val="nil"/>
              <w:left w:val="nil"/>
              <w:bottom w:val="single" w:color="auto" w:sz="4" w:space="0"/>
              <w:right w:val="single" w:color="auto" w:sz="4" w:space="0"/>
            </w:tcBorders>
            <w:noWrap/>
            <w:vAlign w:val="center"/>
          </w:tcPr>
          <w:p w14:paraId="724023D5">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0644FE6F">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10AD02DC">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68AFE56D">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7FA5E1CC">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4DF450D8">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干泵</w:t>
            </w:r>
          </w:p>
        </w:tc>
        <w:tc>
          <w:tcPr>
            <w:tcW w:w="934" w:type="dxa"/>
            <w:tcBorders>
              <w:top w:val="nil"/>
              <w:left w:val="nil"/>
              <w:bottom w:val="single" w:color="auto" w:sz="4" w:space="0"/>
              <w:right w:val="single" w:color="auto" w:sz="4" w:space="0"/>
            </w:tcBorders>
            <w:noWrap/>
            <w:vAlign w:val="center"/>
          </w:tcPr>
          <w:p w14:paraId="2F9FC620">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7786354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6E6DD688">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24FD09BE">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5869D7DE">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5889DCA8">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真空计</w:t>
            </w:r>
          </w:p>
        </w:tc>
        <w:tc>
          <w:tcPr>
            <w:tcW w:w="934" w:type="dxa"/>
            <w:tcBorders>
              <w:top w:val="nil"/>
              <w:left w:val="nil"/>
              <w:bottom w:val="single" w:color="auto" w:sz="4" w:space="0"/>
              <w:right w:val="single" w:color="auto" w:sz="4" w:space="0"/>
            </w:tcBorders>
            <w:noWrap/>
            <w:vAlign w:val="center"/>
          </w:tcPr>
          <w:p w14:paraId="123928A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0AABB662">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2</w:t>
            </w:r>
          </w:p>
        </w:tc>
      </w:tr>
      <w:tr w14:paraId="7111667A">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02DFCEB9">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32AD0486">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681A91C5">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晶圆升降组件</w:t>
            </w:r>
          </w:p>
        </w:tc>
        <w:tc>
          <w:tcPr>
            <w:tcW w:w="934" w:type="dxa"/>
            <w:tcBorders>
              <w:top w:val="nil"/>
              <w:left w:val="nil"/>
              <w:bottom w:val="single" w:color="auto" w:sz="4" w:space="0"/>
              <w:right w:val="single" w:color="auto" w:sz="4" w:space="0"/>
            </w:tcBorders>
            <w:noWrap/>
            <w:vAlign w:val="center"/>
          </w:tcPr>
          <w:p w14:paraId="5E508BC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2DF7AAB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2D17344C">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38C7C196">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122306B7">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0532A389">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晶圆Mapping组件</w:t>
            </w:r>
          </w:p>
        </w:tc>
        <w:tc>
          <w:tcPr>
            <w:tcW w:w="934" w:type="dxa"/>
            <w:tcBorders>
              <w:top w:val="nil"/>
              <w:left w:val="nil"/>
              <w:bottom w:val="single" w:color="auto" w:sz="4" w:space="0"/>
              <w:right w:val="single" w:color="auto" w:sz="4" w:space="0"/>
            </w:tcBorders>
            <w:noWrap/>
            <w:vAlign w:val="center"/>
          </w:tcPr>
          <w:p w14:paraId="18C7B2E1">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185A8617">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3D2F56D9">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21347D76">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2AAEBA9F">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603A291A">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门阀</w:t>
            </w:r>
          </w:p>
        </w:tc>
        <w:tc>
          <w:tcPr>
            <w:tcW w:w="934" w:type="dxa"/>
            <w:tcBorders>
              <w:top w:val="nil"/>
              <w:left w:val="nil"/>
              <w:bottom w:val="single" w:color="auto" w:sz="4" w:space="0"/>
              <w:right w:val="single" w:color="auto" w:sz="4" w:space="0"/>
            </w:tcBorders>
            <w:noWrap/>
            <w:vAlign w:val="center"/>
          </w:tcPr>
          <w:p w14:paraId="44FB700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46531D3C">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0DCC72A5">
        <w:tblPrEx>
          <w:tblCellMar>
            <w:top w:w="0" w:type="dxa"/>
            <w:left w:w="108" w:type="dxa"/>
            <w:bottom w:w="0" w:type="dxa"/>
            <w:right w:w="108" w:type="dxa"/>
          </w:tblCellMar>
        </w:tblPrEx>
        <w:trPr>
          <w:trHeight w:val="285" w:hRule="atLeast"/>
        </w:trPr>
        <w:tc>
          <w:tcPr>
            <w:tcW w:w="987" w:type="dxa"/>
            <w:vMerge w:val="restart"/>
            <w:tcBorders>
              <w:top w:val="nil"/>
              <w:left w:val="single" w:color="auto" w:sz="4" w:space="0"/>
              <w:bottom w:val="single" w:color="auto" w:sz="4" w:space="0"/>
              <w:right w:val="single" w:color="auto" w:sz="4" w:space="0"/>
            </w:tcBorders>
            <w:noWrap/>
            <w:vAlign w:val="center"/>
          </w:tcPr>
          <w:p w14:paraId="47BCA588">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2</w:t>
            </w:r>
          </w:p>
        </w:tc>
        <w:tc>
          <w:tcPr>
            <w:tcW w:w="2053" w:type="dxa"/>
            <w:vMerge w:val="restart"/>
            <w:tcBorders>
              <w:top w:val="nil"/>
              <w:left w:val="single" w:color="auto" w:sz="4" w:space="0"/>
              <w:bottom w:val="single" w:color="auto" w:sz="4" w:space="0"/>
              <w:right w:val="single" w:color="auto" w:sz="4" w:space="0"/>
            </w:tcBorders>
            <w:noWrap/>
            <w:vAlign w:val="center"/>
          </w:tcPr>
          <w:p w14:paraId="7D8D0D2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传输模块</w:t>
            </w:r>
          </w:p>
        </w:tc>
        <w:tc>
          <w:tcPr>
            <w:tcW w:w="4120" w:type="dxa"/>
            <w:tcBorders>
              <w:top w:val="nil"/>
              <w:left w:val="nil"/>
              <w:bottom w:val="single" w:color="auto" w:sz="4" w:space="0"/>
              <w:right w:val="single" w:color="auto" w:sz="4" w:space="0"/>
            </w:tcBorders>
            <w:noWrap/>
            <w:vAlign w:val="center"/>
          </w:tcPr>
          <w:p w14:paraId="7A62201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传输腔体</w:t>
            </w:r>
          </w:p>
        </w:tc>
        <w:tc>
          <w:tcPr>
            <w:tcW w:w="934" w:type="dxa"/>
            <w:tcBorders>
              <w:top w:val="nil"/>
              <w:left w:val="nil"/>
              <w:bottom w:val="single" w:color="auto" w:sz="4" w:space="0"/>
              <w:right w:val="single" w:color="auto" w:sz="4" w:space="0"/>
            </w:tcBorders>
            <w:noWrap/>
            <w:vAlign w:val="center"/>
          </w:tcPr>
          <w:p w14:paraId="07C0BBB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04F7889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6A56107E">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12485FD4">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4E12FBF6">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2118905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分子泵</w:t>
            </w:r>
          </w:p>
        </w:tc>
        <w:tc>
          <w:tcPr>
            <w:tcW w:w="934" w:type="dxa"/>
            <w:tcBorders>
              <w:top w:val="nil"/>
              <w:left w:val="nil"/>
              <w:bottom w:val="single" w:color="auto" w:sz="4" w:space="0"/>
              <w:right w:val="single" w:color="auto" w:sz="4" w:space="0"/>
            </w:tcBorders>
            <w:noWrap/>
            <w:vAlign w:val="center"/>
          </w:tcPr>
          <w:p w14:paraId="294DBA62">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682817C9">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6B270399">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6EB05AC7">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395624D4">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63396F2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干泵</w:t>
            </w:r>
          </w:p>
        </w:tc>
        <w:tc>
          <w:tcPr>
            <w:tcW w:w="934" w:type="dxa"/>
            <w:tcBorders>
              <w:top w:val="nil"/>
              <w:left w:val="nil"/>
              <w:bottom w:val="single" w:color="auto" w:sz="4" w:space="0"/>
              <w:right w:val="single" w:color="auto" w:sz="4" w:space="0"/>
            </w:tcBorders>
            <w:noWrap/>
            <w:vAlign w:val="center"/>
          </w:tcPr>
          <w:p w14:paraId="07DE5C0C">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42150B37">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75112E77">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2FAA5859">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0A11CD80">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117140E2">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真空计</w:t>
            </w:r>
          </w:p>
        </w:tc>
        <w:tc>
          <w:tcPr>
            <w:tcW w:w="934" w:type="dxa"/>
            <w:tcBorders>
              <w:top w:val="nil"/>
              <w:left w:val="nil"/>
              <w:bottom w:val="single" w:color="auto" w:sz="4" w:space="0"/>
              <w:right w:val="single" w:color="auto" w:sz="4" w:space="0"/>
            </w:tcBorders>
            <w:noWrap/>
            <w:vAlign w:val="center"/>
          </w:tcPr>
          <w:p w14:paraId="06DBE505">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5F972B1A">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2</w:t>
            </w:r>
          </w:p>
        </w:tc>
      </w:tr>
      <w:tr w14:paraId="463FEB73">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1FAEBB85">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6F6B149F">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62D66678">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真空机械手</w:t>
            </w:r>
          </w:p>
        </w:tc>
        <w:tc>
          <w:tcPr>
            <w:tcW w:w="934" w:type="dxa"/>
            <w:tcBorders>
              <w:top w:val="nil"/>
              <w:left w:val="nil"/>
              <w:bottom w:val="single" w:color="auto" w:sz="4" w:space="0"/>
              <w:right w:val="single" w:color="auto" w:sz="4" w:space="0"/>
            </w:tcBorders>
            <w:noWrap/>
            <w:vAlign w:val="center"/>
          </w:tcPr>
          <w:p w14:paraId="6690B9D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6A2DB102">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6D7CEAC2">
        <w:tblPrEx>
          <w:tblCellMar>
            <w:top w:w="0" w:type="dxa"/>
            <w:left w:w="108" w:type="dxa"/>
            <w:bottom w:w="0" w:type="dxa"/>
            <w:right w:w="108" w:type="dxa"/>
          </w:tblCellMar>
        </w:tblPrEx>
        <w:trPr>
          <w:trHeight w:val="285" w:hRule="atLeast"/>
        </w:trPr>
        <w:tc>
          <w:tcPr>
            <w:tcW w:w="987" w:type="dxa"/>
            <w:vMerge w:val="restart"/>
            <w:tcBorders>
              <w:top w:val="nil"/>
              <w:left w:val="single" w:color="auto" w:sz="4" w:space="0"/>
              <w:bottom w:val="single" w:color="auto" w:sz="4" w:space="0"/>
              <w:right w:val="single" w:color="auto" w:sz="4" w:space="0"/>
            </w:tcBorders>
            <w:noWrap/>
            <w:vAlign w:val="center"/>
          </w:tcPr>
          <w:p w14:paraId="615360C1">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3</w:t>
            </w:r>
          </w:p>
        </w:tc>
        <w:tc>
          <w:tcPr>
            <w:tcW w:w="2053" w:type="dxa"/>
            <w:vMerge w:val="restart"/>
            <w:tcBorders>
              <w:top w:val="nil"/>
              <w:left w:val="single" w:color="auto" w:sz="4" w:space="0"/>
              <w:bottom w:val="single" w:color="auto" w:sz="4" w:space="0"/>
              <w:right w:val="single" w:color="auto" w:sz="4" w:space="0"/>
            </w:tcBorders>
            <w:noWrap/>
            <w:vAlign w:val="center"/>
          </w:tcPr>
          <w:p w14:paraId="62414B22">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键合模块</w:t>
            </w:r>
          </w:p>
        </w:tc>
        <w:tc>
          <w:tcPr>
            <w:tcW w:w="4120" w:type="dxa"/>
            <w:tcBorders>
              <w:top w:val="nil"/>
              <w:left w:val="nil"/>
              <w:bottom w:val="single" w:color="auto" w:sz="4" w:space="0"/>
              <w:right w:val="single" w:color="auto" w:sz="4" w:space="0"/>
            </w:tcBorders>
            <w:noWrap/>
            <w:vAlign w:val="center"/>
          </w:tcPr>
          <w:p w14:paraId="09723EA7">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键合腔体</w:t>
            </w:r>
          </w:p>
        </w:tc>
        <w:tc>
          <w:tcPr>
            <w:tcW w:w="934" w:type="dxa"/>
            <w:tcBorders>
              <w:top w:val="nil"/>
              <w:left w:val="nil"/>
              <w:bottom w:val="single" w:color="auto" w:sz="4" w:space="0"/>
              <w:right w:val="single" w:color="auto" w:sz="4" w:space="0"/>
            </w:tcBorders>
            <w:noWrap/>
            <w:vAlign w:val="center"/>
          </w:tcPr>
          <w:p w14:paraId="2485CF1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3D76CD19">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7FB5A91B">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3796B42D">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4E6F71D7">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7047519F">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分子泵</w:t>
            </w:r>
          </w:p>
        </w:tc>
        <w:tc>
          <w:tcPr>
            <w:tcW w:w="934" w:type="dxa"/>
            <w:tcBorders>
              <w:top w:val="nil"/>
              <w:left w:val="nil"/>
              <w:bottom w:val="single" w:color="auto" w:sz="4" w:space="0"/>
              <w:right w:val="single" w:color="auto" w:sz="4" w:space="0"/>
            </w:tcBorders>
            <w:noWrap/>
            <w:vAlign w:val="center"/>
          </w:tcPr>
          <w:p w14:paraId="2B11196A">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4606FD1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4951E7FD">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4FE01771">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20618EF6">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71BBD27A">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干泵</w:t>
            </w:r>
          </w:p>
        </w:tc>
        <w:tc>
          <w:tcPr>
            <w:tcW w:w="934" w:type="dxa"/>
            <w:tcBorders>
              <w:top w:val="nil"/>
              <w:left w:val="nil"/>
              <w:bottom w:val="single" w:color="auto" w:sz="4" w:space="0"/>
              <w:right w:val="single" w:color="auto" w:sz="4" w:space="0"/>
            </w:tcBorders>
            <w:noWrap/>
            <w:vAlign w:val="center"/>
          </w:tcPr>
          <w:p w14:paraId="6A7AD13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6E836FC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28714862">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17080996">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72D8B316">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5A3BB3BD">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真空计</w:t>
            </w:r>
          </w:p>
        </w:tc>
        <w:tc>
          <w:tcPr>
            <w:tcW w:w="934" w:type="dxa"/>
            <w:tcBorders>
              <w:top w:val="nil"/>
              <w:left w:val="nil"/>
              <w:bottom w:val="single" w:color="auto" w:sz="4" w:space="0"/>
              <w:right w:val="single" w:color="auto" w:sz="4" w:space="0"/>
            </w:tcBorders>
            <w:noWrap/>
            <w:vAlign w:val="center"/>
          </w:tcPr>
          <w:p w14:paraId="4DAEA43C">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2F28278F">
            <w:pPr>
              <w:autoSpaceDE w:val="0"/>
              <w:autoSpaceDN w:val="0"/>
              <w:spacing w:line="500" w:lineRule="exact"/>
              <w:ind w:right="-5"/>
              <w:jc w:val="center"/>
              <w:textAlignment w:val="bottom"/>
              <w:rPr>
                <w:rFonts w:hint="eastAsia"/>
                <w:color w:val="auto"/>
                <w:kern w:val="0"/>
                <w:sz w:val="24"/>
                <w:szCs w:val="22"/>
              </w:rPr>
            </w:pPr>
            <w:r>
              <w:rPr>
                <w:rFonts w:hint="eastAsia"/>
                <w:color w:val="auto"/>
                <w:kern w:val="0"/>
                <w:sz w:val="24"/>
                <w:szCs w:val="22"/>
              </w:rPr>
              <w:t>4</w:t>
            </w:r>
          </w:p>
        </w:tc>
      </w:tr>
      <w:tr w14:paraId="67C4EBCD">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1410E3C5">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49305227">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3CF51708">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加压机构组件</w:t>
            </w:r>
          </w:p>
        </w:tc>
        <w:tc>
          <w:tcPr>
            <w:tcW w:w="934" w:type="dxa"/>
            <w:tcBorders>
              <w:top w:val="nil"/>
              <w:left w:val="nil"/>
              <w:bottom w:val="single" w:color="auto" w:sz="4" w:space="0"/>
              <w:right w:val="single" w:color="auto" w:sz="4" w:space="0"/>
            </w:tcBorders>
            <w:noWrap/>
            <w:vAlign w:val="center"/>
          </w:tcPr>
          <w:p w14:paraId="3CCA511E">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0D677EEE">
            <w:pPr>
              <w:autoSpaceDE w:val="0"/>
              <w:autoSpaceDN w:val="0"/>
              <w:spacing w:line="500" w:lineRule="exact"/>
              <w:ind w:right="-5"/>
              <w:jc w:val="center"/>
              <w:textAlignment w:val="bottom"/>
              <w:rPr>
                <w:rFonts w:hint="eastAsia"/>
                <w:color w:val="auto"/>
                <w:kern w:val="0"/>
                <w:sz w:val="24"/>
                <w:szCs w:val="22"/>
              </w:rPr>
            </w:pPr>
            <w:r>
              <w:rPr>
                <w:rFonts w:hint="eastAsia"/>
                <w:color w:val="auto"/>
                <w:kern w:val="0"/>
                <w:sz w:val="24"/>
                <w:szCs w:val="22"/>
              </w:rPr>
              <w:t>2</w:t>
            </w:r>
          </w:p>
        </w:tc>
      </w:tr>
      <w:tr w14:paraId="69BEABC6">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5193C12C">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025F23B8">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79BEAC75">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6寸静电卡盘</w:t>
            </w:r>
          </w:p>
        </w:tc>
        <w:tc>
          <w:tcPr>
            <w:tcW w:w="934" w:type="dxa"/>
            <w:tcBorders>
              <w:top w:val="nil"/>
              <w:left w:val="nil"/>
              <w:bottom w:val="single" w:color="auto" w:sz="4" w:space="0"/>
              <w:right w:val="single" w:color="auto" w:sz="4" w:space="0"/>
            </w:tcBorders>
            <w:noWrap/>
            <w:vAlign w:val="center"/>
          </w:tcPr>
          <w:p w14:paraId="0792ED7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件</w:t>
            </w:r>
          </w:p>
        </w:tc>
        <w:tc>
          <w:tcPr>
            <w:tcW w:w="981" w:type="dxa"/>
            <w:tcBorders>
              <w:top w:val="nil"/>
              <w:left w:val="nil"/>
              <w:bottom w:val="single" w:color="auto" w:sz="4" w:space="0"/>
              <w:right w:val="single" w:color="auto" w:sz="4" w:space="0"/>
            </w:tcBorders>
            <w:noWrap/>
            <w:vAlign w:val="center"/>
          </w:tcPr>
          <w:p w14:paraId="22FE777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13B52653">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1C9D9637">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45DF90C5">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754B82A7">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对准平台组件</w:t>
            </w:r>
          </w:p>
        </w:tc>
        <w:tc>
          <w:tcPr>
            <w:tcW w:w="934" w:type="dxa"/>
            <w:tcBorders>
              <w:top w:val="nil"/>
              <w:left w:val="nil"/>
              <w:bottom w:val="single" w:color="auto" w:sz="4" w:space="0"/>
              <w:right w:val="single" w:color="auto" w:sz="4" w:space="0"/>
            </w:tcBorders>
            <w:noWrap/>
            <w:vAlign w:val="center"/>
          </w:tcPr>
          <w:p w14:paraId="66BB1E91">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64324AAE">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0F49C74C">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3D42D541">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4B8F0862">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62D24BCE">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光学对准组件</w:t>
            </w:r>
          </w:p>
        </w:tc>
        <w:tc>
          <w:tcPr>
            <w:tcW w:w="934" w:type="dxa"/>
            <w:tcBorders>
              <w:top w:val="nil"/>
              <w:left w:val="nil"/>
              <w:bottom w:val="single" w:color="auto" w:sz="4" w:space="0"/>
              <w:right w:val="single" w:color="auto" w:sz="4" w:space="0"/>
            </w:tcBorders>
            <w:noWrap/>
            <w:vAlign w:val="center"/>
          </w:tcPr>
          <w:p w14:paraId="3679CD9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3EF7D970">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1673526B">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0709319E">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05713104">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50E390F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活化组件</w:t>
            </w:r>
          </w:p>
        </w:tc>
        <w:tc>
          <w:tcPr>
            <w:tcW w:w="934" w:type="dxa"/>
            <w:tcBorders>
              <w:top w:val="nil"/>
              <w:left w:val="nil"/>
              <w:bottom w:val="single" w:color="auto" w:sz="4" w:space="0"/>
              <w:right w:val="single" w:color="auto" w:sz="4" w:space="0"/>
            </w:tcBorders>
            <w:noWrap/>
            <w:vAlign w:val="center"/>
          </w:tcPr>
          <w:p w14:paraId="0E60E5F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6BABFAF5">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2C93AE8F">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010065AC">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51EE4AC2">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3AC0E6A0">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门阀</w:t>
            </w:r>
          </w:p>
        </w:tc>
        <w:tc>
          <w:tcPr>
            <w:tcW w:w="934" w:type="dxa"/>
            <w:tcBorders>
              <w:top w:val="nil"/>
              <w:left w:val="nil"/>
              <w:bottom w:val="single" w:color="auto" w:sz="4" w:space="0"/>
              <w:right w:val="single" w:color="auto" w:sz="4" w:space="0"/>
            </w:tcBorders>
            <w:noWrap/>
            <w:vAlign w:val="center"/>
          </w:tcPr>
          <w:p w14:paraId="101BA45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个</w:t>
            </w:r>
          </w:p>
        </w:tc>
        <w:tc>
          <w:tcPr>
            <w:tcW w:w="981" w:type="dxa"/>
            <w:tcBorders>
              <w:top w:val="nil"/>
              <w:left w:val="nil"/>
              <w:bottom w:val="single" w:color="auto" w:sz="4" w:space="0"/>
              <w:right w:val="single" w:color="auto" w:sz="4" w:space="0"/>
            </w:tcBorders>
            <w:noWrap/>
            <w:vAlign w:val="center"/>
          </w:tcPr>
          <w:p w14:paraId="41225453">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4C670CEB">
        <w:tblPrEx>
          <w:tblCellMar>
            <w:top w:w="0" w:type="dxa"/>
            <w:left w:w="108" w:type="dxa"/>
            <w:bottom w:w="0" w:type="dxa"/>
            <w:right w:w="108" w:type="dxa"/>
          </w:tblCellMar>
        </w:tblPrEx>
        <w:trPr>
          <w:trHeight w:val="285" w:hRule="atLeast"/>
        </w:trPr>
        <w:tc>
          <w:tcPr>
            <w:tcW w:w="987" w:type="dxa"/>
            <w:vMerge w:val="continue"/>
            <w:tcBorders>
              <w:top w:val="nil"/>
              <w:left w:val="single" w:color="auto" w:sz="4" w:space="0"/>
              <w:bottom w:val="single" w:color="auto" w:sz="4" w:space="0"/>
              <w:right w:val="single" w:color="auto" w:sz="4" w:space="0"/>
            </w:tcBorders>
            <w:noWrap w:val="0"/>
            <w:vAlign w:val="center"/>
          </w:tcPr>
          <w:p w14:paraId="2299C48F">
            <w:pPr>
              <w:autoSpaceDE w:val="0"/>
              <w:autoSpaceDN w:val="0"/>
              <w:spacing w:line="500" w:lineRule="exact"/>
              <w:ind w:right="-5"/>
              <w:jc w:val="center"/>
              <w:textAlignment w:val="bottom"/>
              <w:rPr>
                <w:color w:val="auto"/>
                <w:kern w:val="0"/>
                <w:sz w:val="24"/>
                <w:szCs w:val="22"/>
                <w:lang w:eastAsia="en-US"/>
              </w:rPr>
            </w:pPr>
          </w:p>
        </w:tc>
        <w:tc>
          <w:tcPr>
            <w:tcW w:w="2053" w:type="dxa"/>
            <w:vMerge w:val="continue"/>
            <w:tcBorders>
              <w:top w:val="nil"/>
              <w:left w:val="single" w:color="auto" w:sz="4" w:space="0"/>
              <w:bottom w:val="single" w:color="auto" w:sz="4" w:space="0"/>
              <w:right w:val="single" w:color="auto" w:sz="4" w:space="0"/>
            </w:tcBorders>
            <w:noWrap w:val="0"/>
            <w:vAlign w:val="center"/>
          </w:tcPr>
          <w:p w14:paraId="761FDCFC">
            <w:pPr>
              <w:autoSpaceDE w:val="0"/>
              <w:autoSpaceDN w:val="0"/>
              <w:spacing w:line="500" w:lineRule="exact"/>
              <w:ind w:right="-5"/>
              <w:jc w:val="center"/>
              <w:textAlignment w:val="bottom"/>
              <w:rPr>
                <w:color w:val="auto"/>
                <w:kern w:val="0"/>
                <w:sz w:val="24"/>
                <w:szCs w:val="22"/>
                <w:lang w:eastAsia="en-US"/>
              </w:rPr>
            </w:pPr>
          </w:p>
        </w:tc>
        <w:tc>
          <w:tcPr>
            <w:tcW w:w="4120" w:type="dxa"/>
            <w:tcBorders>
              <w:top w:val="nil"/>
              <w:left w:val="nil"/>
              <w:bottom w:val="single" w:color="auto" w:sz="4" w:space="0"/>
              <w:right w:val="single" w:color="auto" w:sz="4" w:space="0"/>
            </w:tcBorders>
            <w:noWrap/>
            <w:vAlign w:val="center"/>
          </w:tcPr>
          <w:p w14:paraId="581C5CCC">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衬板组件</w:t>
            </w:r>
          </w:p>
        </w:tc>
        <w:tc>
          <w:tcPr>
            <w:tcW w:w="934" w:type="dxa"/>
            <w:tcBorders>
              <w:top w:val="nil"/>
              <w:left w:val="nil"/>
              <w:bottom w:val="single" w:color="auto" w:sz="4" w:space="0"/>
              <w:right w:val="single" w:color="auto" w:sz="4" w:space="0"/>
            </w:tcBorders>
            <w:noWrap/>
            <w:vAlign w:val="center"/>
          </w:tcPr>
          <w:p w14:paraId="3184512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7998918F">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799FC290">
        <w:tblPrEx>
          <w:tblCellMar>
            <w:top w:w="0" w:type="dxa"/>
            <w:left w:w="108" w:type="dxa"/>
            <w:bottom w:w="0" w:type="dxa"/>
            <w:right w:w="108" w:type="dxa"/>
          </w:tblCellMar>
        </w:tblPrEx>
        <w:trPr>
          <w:trHeight w:val="855" w:hRule="atLeast"/>
        </w:trPr>
        <w:tc>
          <w:tcPr>
            <w:tcW w:w="987" w:type="dxa"/>
            <w:tcBorders>
              <w:top w:val="nil"/>
              <w:left w:val="single" w:color="auto" w:sz="4" w:space="0"/>
              <w:bottom w:val="single" w:color="auto" w:sz="4" w:space="0"/>
              <w:right w:val="single" w:color="auto" w:sz="4" w:space="0"/>
            </w:tcBorders>
            <w:noWrap/>
            <w:vAlign w:val="center"/>
          </w:tcPr>
          <w:p w14:paraId="08D92730">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4</w:t>
            </w:r>
          </w:p>
        </w:tc>
        <w:tc>
          <w:tcPr>
            <w:tcW w:w="2053" w:type="dxa"/>
            <w:tcBorders>
              <w:top w:val="nil"/>
              <w:left w:val="nil"/>
              <w:bottom w:val="single" w:color="auto" w:sz="4" w:space="0"/>
              <w:right w:val="single" w:color="auto" w:sz="4" w:space="0"/>
            </w:tcBorders>
            <w:noWrap w:val="0"/>
            <w:vAlign w:val="center"/>
          </w:tcPr>
          <w:p w14:paraId="42B8F69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工控机及显示单元</w:t>
            </w:r>
          </w:p>
        </w:tc>
        <w:tc>
          <w:tcPr>
            <w:tcW w:w="4120" w:type="dxa"/>
            <w:tcBorders>
              <w:top w:val="nil"/>
              <w:left w:val="nil"/>
              <w:bottom w:val="single" w:color="auto" w:sz="4" w:space="0"/>
              <w:right w:val="single" w:color="auto" w:sz="4" w:space="0"/>
            </w:tcBorders>
            <w:noWrap/>
            <w:vAlign w:val="center"/>
          </w:tcPr>
          <w:p w14:paraId="499D0502">
            <w:pPr>
              <w:autoSpaceDE w:val="0"/>
              <w:autoSpaceDN w:val="0"/>
              <w:spacing w:line="500" w:lineRule="exact"/>
              <w:ind w:right="-5"/>
              <w:jc w:val="left"/>
              <w:textAlignment w:val="bottom"/>
              <w:rPr>
                <w:color w:val="auto"/>
                <w:kern w:val="0"/>
                <w:sz w:val="24"/>
                <w:szCs w:val="22"/>
              </w:rPr>
            </w:pPr>
            <w:r>
              <w:rPr>
                <w:color w:val="auto"/>
                <w:kern w:val="0"/>
                <w:sz w:val="24"/>
                <w:szCs w:val="22"/>
              </w:rPr>
              <w:t>1台主机、2件显示器，包含操作软件</w:t>
            </w:r>
          </w:p>
        </w:tc>
        <w:tc>
          <w:tcPr>
            <w:tcW w:w="934" w:type="dxa"/>
            <w:tcBorders>
              <w:top w:val="nil"/>
              <w:left w:val="nil"/>
              <w:bottom w:val="single" w:color="auto" w:sz="4" w:space="0"/>
              <w:right w:val="single" w:color="auto" w:sz="4" w:space="0"/>
            </w:tcBorders>
            <w:noWrap w:val="0"/>
            <w:vAlign w:val="center"/>
          </w:tcPr>
          <w:p w14:paraId="3B196739">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0"/>
            <w:vAlign w:val="center"/>
          </w:tcPr>
          <w:p w14:paraId="27083947">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58DFF245">
        <w:tblPrEx>
          <w:tblCellMar>
            <w:top w:w="0" w:type="dxa"/>
            <w:left w:w="108" w:type="dxa"/>
            <w:bottom w:w="0" w:type="dxa"/>
            <w:right w:w="108" w:type="dxa"/>
          </w:tblCellMar>
        </w:tblPrEx>
        <w:trPr>
          <w:trHeight w:val="285" w:hRule="atLeast"/>
        </w:trPr>
        <w:tc>
          <w:tcPr>
            <w:tcW w:w="987" w:type="dxa"/>
            <w:tcBorders>
              <w:top w:val="nil"/>
              <w:left w:val="single" w:color="auto" w:sz="4" w:space="0"/>
              <w:bottom w:val="single" w:color="auto" w:sz="4" w:space="0"/>
              <w:right w:val="single" w:color="auto" w:sz="4" w:space="0"/>
            </w:tcBorders>
            <w:noWrap/>
            <w:vAlign w:val="center"/>
          </w:tcPr>
          <w:p w14:paraId="524B41F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5</w:t>
            </w:r>
          </w:p>
        </w:tc>
        <w:tc>
          <w:tcPr>
            <w:tcW w:w="2053" w:type="dxa"/>
            <w:tcBorders>
              <w:top w:val="nil"/>
              <w:left w:val="nil"/>
              <w:bottom w:val="single" w:color="auto" w:sz="4" w:space="0"/>
              <w:right w:val="single" w:color="auto" w:sz="4" w:space="0"/>
            </w:tcBorders>
            <w:noWrap/>
            <w:vAlign w:val="center"/>
          </w:tcPr>
          <w:p w14:paraId="53F4BD9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操作台</w:t>
            </w:r>
          </w:p>
        </w:tc>
        <w:tc>
          <w:tcPr>
            <w:tcW w:w="4120" w:type="dxa"/>
            <w:tcBorders>
              <w:top w:val="nil"/>
              <w:left w:val="nil"/>
              <w:bottom w:val="single" w:color="auto" w:sz="4" w:space="0"/>
              <w:right w:val="single" w:color="auto" w:sz="4" w:space="0"/>
            </w:tcBorders>
            <w:noWrap/>
            <w:vAlign w:val="center"/>
          </w:tcPr>
          <w:p w14:paraId="4671A64D">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坐站两用式</w:t>
            </w:r>
          </w:p>
        </w:tc>
        <w:tc>
          <w:tcPr>
            <w:tcW w:w="934" w:type="dxa"/>
            <w:tcBorders>
              <w:top w:val="nil"/>
              <w:left w:val="nil"/>
              <w:bottom w:val="single" w:color="auto" w:sz="4" w:space="0"/>
              <w:right w:val="single" w:color="auto" w:sz="4" w:space="0"/>
            </w:tcBorders>
            <w:noWrap/>
            <w:vAlign w:val="center"/>
          </w:tcPr>
          <w:p w14:paraId="4A403FDF">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件</w:t>
            </w:r>
          </w:p>
        </w:tc>
        <w:tc>
          <w:tcPr>
            <w:tcW w:w="981" w:type="dxa"/>
            <w:tcBorders>
              <w:top w:val="nil"/>
              <w:left w:val="nil"/>
              <w:bottom w:val="single" w:color="auto" w:sz="4" w:space="0"/>
              <w:right w:val="single" w:color="auto" w:sz="4" w:space="0"/>
            </w:tcBorders>
            <w:noWrap/>
            <w:vAlign w:val="center"/>
          </w:tcPr>
          <w:p w14:paraId="33662F2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27CBFB0E">
        <w:tblPrEx>
          <w:tblCellMar>
            <w:top w:w="0" w:type="dxa"/>
            <w:left w:w="108" w:type="dxa"/>
            <w:bottom w:w="0" w:type="dxa"/>
            <w:right w:w="108" w:type="dxa"/>
          </w:tblCellMar>
        </w:tblPrEx>
        <w:trPr>
          <w:trHeight w:val="285" w:hRule="atLeast"/>
        </w:trPr>
        <w:tc>
          <w:tcPr>
            <w:tcW w:w="987" w:type="dxa"/>
            <w:tcBorders>
              <w:top w:val="nil"/>
              <w:left w:val="single" w:color="auto" w:sz="4" w:space="0"/>
              <w:bottom w:val="single" w:color="auto" w:sz="4" w:space="0"/>
              <w:right w:val="single" w:color="auto" w:sz="4" w:space="0"/>
            </w:tcBorders>
            <w:noWrap/>
            <w:vAlign w:val="center"/>
          </w:tcPr>
          <w:p w14:paraId="19C32078">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6</w:t>
            </w:r>
          </w:p>
        </w:tc>
        <w:tc>
          <w:tcPr>
            <w:tcW w:w="2053" w:type="dxa"/>
            <w:tcBorders>
              <w:top w:val="nil"/>
              <w:left w:val="nil"/>
              <w:bottom w:val="single" w:color="auto" w:sz="4" w:space="0"/>
              <w:right w:val="single" w:color="auto" w:sz="4" w:space="0"/>
            </w:tcBorders>
            <w:noWrap/>
            <w:vAlign w:val="center"/>
          </w:tcPr>
          <w:p w14:paraId="41A461AF">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水冷机</w:t>
            </w:r>
          </w:p>
        </w:tc>
        <w:tc>
          <w:tcPr>
            <w:tcW w:w="4120" w:type="dxa"/>
            <w:tcBorders>
              <w:top w:val="nil"/>
              <w:left w:val="nil"/>
              <w:bottom w:val="single" w:color="auto" w:sz="4" w:space="0"/>
              <w:right w:val="single" w:color="auto" w:sz="4" w:space="0"/>
            </w:tcBorders>
            <w:noWrap/>
            <w:vAlign w:val="center"/>
          </w:tcPr>
          <w:p w14:paraId="0EAF46C3">
            <w:pPr>
              <w:autoSpaceDE w:val="0"/>
              <w:autoSpaceDN w:val="0"/>
              <w:spacing w:line="500" w:lineRule="exact"/>
              <w:ind w:right="-5"/>
              <w:jc w:val="left"/>
              <w:textAlignment w:val="bottom"/>
              <w:rPr>
                <w:color w:val="auto"/>
                <w:kern w:val="0"/>
                <w:sz w:val="24"/>
                <w:szCs w:val="22"/>
              </w:rPr>
            </w:pPr>
            <w:r>
              <w:rPr>
                <w:color w:val="auto"/>
                <w:kern w:val="0"/>
                <w:sz w:val="24"/>
                <w:szCs w:val="22"/>
              </w:rPr>
              <w:t>用于工艺腔ESC冷却</w:t>
            </w:r>
          </w:p>
        </w:tc>
        <w:tc>
          <w:tcPr>
            <w:tcW w:w="934" w:type="dxa"/>
            <w:tcBorders>
              <w:top w:val="nil"/>
              <w:left w:val="nil"/>
              <w:bottom w:val="single" w:color="auto" w:sz="4" w:space="0"/>
              <w:right w:val="single" w:color="auto" w:sz="4" w:space="0"/>
            </w:tcBorders>
            <w:noWrap/>
            <w:vAlign w:val="center"/>
          </w:tcPr>
          <w:p w14:paraId="37AD0170">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台</w:t>
            </w:r>
          </w:p>
        </w:tc>
        <w:tc>
          <w:tcPr>
            <w:tcW w:w="981" w:type="dxa"/>
            <w:tcBorders>
              <w:top w:val="nil"/>
              <w:left w:val="nil"/>
              <w:bottom w:val="single" w:color="auto" w:sz="4" w:space="0"/>
              <w:right w:val="single" w:color="auto" w:sz="4" w:space="0"/>
            </w:tcBorders>
            <w:noWrap/>
            <w:vAlign w:val="center"/>
          </w:tcPr>
          <w:p w14:paraId="3A71F62D">
            <w:pPr>
              <w:autoSpaceDE w:val="0"/>
              <w:autoSpaceDN w:val="0"/>
              <w:spacing w:line="500" w:lineRule="exact"/>
              <w:ind w:right="-5"/>
              <w:jc w:val="center"/>
              <w:textAlignment w:val="bottom"/>
              <w:rPr>
                <w:rFonts w:hint="eastAsia"/>
                <w:color w:val="auto"/>
                <w:kern w:val="0"/>
                <w:sz w:val="24"/>
                <w:szCs w:val="22"/>
              </w:rPr>
            </w:pPr>
            <w:r>
              <w:rPr>
                <w:rFonts w:hint="eastAsia"/>
                <w:color w:val="auto"/>
                <w:kern w:val="0"/>
                <w:sz w:val="24"/>
                <w:szCs w:val="22"/>
              </w:rPr>
              <w:t>2</w:t>
            </w:r>
          </w:p>
        </w:tc>
      </w:tr>
      <w:tr w14:paraId="2CA0DFC8">
        <w:tblPrEx>
          <w:tblCellMar>
            <w:top w:w="0" w:type="dxa"/>
            <w:left w:w="108" w:type="dxa"/>
            <w:bottom w:w="0" w:type="dxa"/>
            <w:right w:w="108" w:type="dxa"/>
          </w:tblCellMar>
        </w:tblPrEx>
        <w:trPr>
          <w:trHeight w:val="285" w:hRule="atLeast"/>
        </w:trPr>
        <w:tc>
          <w:tcPr>
            <w:tcW w:w="987" w:type="dxa"/>
            <w:tcBorders>
              <w:top w:val="nil"/>
              <w:left w:val="single" w:color="auto" w:sz="4" w:space="0"/>
              <w:bottom w:val="single" w:color="auto" w:sz="4" w:space="0"/>
              <w:right w:val="single" w:color="auto" w:sz="4" w:space="0"/>
            </w:tcBorders>
            <w:noWrap/>
            <w:vAlign w:val="center"/>
          </w:tcPr>
          <w:p w14:paraId="7A44BBC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7</w:t>
            </w:r>
          </w:p>
        </w:tc>
        <w:tc>
          <w:tcPr>
            <w:tcW w:w="2053" w:type="dxa"/>
            <w:tcBorders>
              <w:top w:val="nil"/>
              <w:left w:val="nil"/>
              <w:bottom w:val="single" w:color="auto" w:sz="4" w:space="0"/>
              <w:right w:val="single" w:color="auto" w:sz="4" w:space="0"/>
            </w:tcBorders>
            <w:noWrap/>
            <w:vAlign w:val="center"/>
          </w:tcPr>
          <w:p w14:paraId="6F163BEA">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电气柜</w:t>
            </w:r>
          </w:p>
        </w:tc>
        <w:tc>
          <w:tcPr>
            <w:tcW w:w="4120" w:type="dxa"/>
            <w:tcBorders>
              <w:top w:val="nil"/>
              <w:left w:val="nil"/>
              <w:bottom w:val="single" w:color="auto" w:sz="4" w:space="0"/>
              <w:right w:val="single" w:color="auto" w:sz="4" w:space="0"/>
            </w:tcBorders>
            <w:noWrap/>
            <w:vAlign w:val="center"/>
          </w:tcPr>
          <w:p w14:paraId="55F91546">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电气控制系统</w:t>
            </w:r>
          </w:p>
        </w:tc>
        <w:tc>
          <w:tcPr>
            <w:tcW w:w="934" w:type="dxa"/>
            <w:tcBorders>
              <w:top w:val="nil"/>
              <w:left w:val="nil"/>
              <w:bottom w:val="single" w:color="auto" w:sz="4" w:space="0"/>
              <w:right w:val="single" w:color="auto" w:sz="4" w:space="0"/>
            </w:tcBorders>
            <w:noWrap/>
            <w:vAlign w:val="center"/>
          </w:tcPr>
          <w:p w14:paraId="3AFBABB4">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075F58C6">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r w14:paraId="6BC5C893">
        <w:tblPrEx>
          <w:tblCellMar>
            <w:top w:w="0" w:type="dxa"/>
            <w:left w:w="108" w:type="dxa"/>
            <w:bottom w:w="0" w:type="dxa"/>
            <w:right w:w="108" w:type="dxa"/>
          </w:tblCellMar>
        </w:tblPrEx>
        <w:trPr>
          <w:trHeight w:val="285" w:hRule="atLeast"/>
        </w:trPr>
        <w:tc>
          <w:tcPr>
            <w:tcW w:w="987" w:type="dxa"/>
            <w:tcBorders>
              <w:top w:val="nil"/>
              <w:left w:val="single" w:color="auto" w:sz="4" w:space="0"/>
              <w:bottom w:val="single" w:color="auto" w:sz="4" w:space="0"/>
              <w:right w:val="single" w:color="auto" w:sz="4" w:space="0"/>
            </w:tcBorders>
            <w:noWrap/>
            <w:vAlign w:val="center"/>
          </w:tcPr>
          <w:p w14:paraId="2B5EECA9">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8</w:t>
            </w:r>
          </w:p>
        </w:tc>
        <w:tc>
          <w:tcPr>
            <w:tcW w:w="2053" w:type="dxa"/>
            <w:tcBorders>
              <w:top w:val="nil"/>
              <w:left w:val="nil"/>
              <w:bottom w:val="single" w:color="auto" w:sz="4" w:space="0"/>
              <w:right w:val="single" w:color="auto" w:sz="4" w:space="0"/>
            </w:tcBorders>
            <w:noWrap/>
            <w:vAlign w:val="center"/>
          </w:tcPr>
          <w:p w14:paraId="02CB6852">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外壳组件</w:t>
            </w:r>
          </w:p>
        </w:tc>
        <w:tc>
          <w:tcPr>
            <w:tcW w:w="4120" w:type="dxa"/>
            <w:tcBorders>
              <w:top w:val="nil"/>
              <w:left w:val="nil"/>
              <w:bottom w:val="single" w:color="auto" w:sz="4" w:space="0"/>
              <w:right w:val="single" w:color="auto" w:sz="4" w:space="0"/>
            </w:tcBorders>
            <w:noWrap/>
            <w:vAlign w:val="center"/>
          </w:tcPr>
          <w:p w14:paraId="72C93444">
            <w:pPr>
              <w:autoSpaceDE w:val="0"/>
              <w:autoSpaceDN w:val="0"/>
              <w:spacing w:line="500" w:lineRule="exact"/>
              <w:ind w:right="-5"/>
              <w:jc w:val="left"/>
              <w:textAlignment w:val="bottom"/>
              <w:rPr>
                <w:color w:val="auto"/>
                <w:kern w:val="0"/>
                <w:sz w:val="24"/>
                <w:szCs w:val="22"/>
                <w:lang w:eastAsia="en-US"/>
              </w:rPr>
            </w:pPr>
            <w:r>
              <w:rPr>
                <w:color w:val="auto"/>
                <w:kern w:val="0"/>
                <w:sz w:val="24"/>
                <w:szCs w:val="22"/>
                <w:lang w:eastAsia="en-US"/>
              </w:rPr>
              <w:t>设备支架及外壳组件:</w:t>
            </w:r>
          </w:p>
        </w:tc>
        <w:tc>
          <w:tcPr>
            <w:tcW w:w="934" w:type="dxa"/>
            <w:tcBorders>
              <w:top w:val="nil"/>
              <w:left w:val="nil"/>
              <w:bottom w:val="single" w:color="auto" w:sz="4" w:space="0"/>
              <w:right w:val="single" w:color="auto" w:sz="4" w:space="0"/>
            </w:tcBorders>
            <w:noWrap/>
            <w:vAlign w:val="center"/>
          </w:tcPr>
          <w:p w14:paraId="2407857D">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套</w:t>
            </w:r>
          </w:p>
        </w:tc>
        <w:tc>
          <w:tcPr>
            <w:tcW w:w="981" w:type="dxa"/>
            <w:tcBorders>
              <w:top w:val="nil"/>
              <w:left w:val="nil"/>
              <w:bottom w:val="single" w:color="auto" w:sz="4" w:space="0"/>
              <w:right w:val="single" w:color="auto" w:sz="4" w:space="0"/>
            </w:tcBorders>
            <w:noWrap/>
            <w:vAlign w:val="center"/>
          </w:tcPr>
          <w:p w14:paraId="76C6A26B">
            <w:pPr>
              <w:autoSpaceDE w:val="0"/>
              <w:autoSpaceDN w:val="0"/>
              <w:spacing w:line="500" w:lineRule="exact"/>
              <w:ind w:right="-5"/>
              <w:jc w:val="center"/>
              <w:textAlignment w:val="bottom"/>
              <w:rPr>
                <w:color w:val="auto"/>
                <w:kern w:val="0"/>
                <w:sz w:val="24"/>
                <w:szCs w:val="22"/>
                <w:lang w:eastAsia="en-US"/>
              </w:rPr>
            </w:pPr>
            <w:r>
              <w:rPr>
                <w:color w:val="auto"/>
                <w:kern w:val="0"/>
                <w:sz w:val="24"/>
                <w:szCs w:val="22"/>
                <w:lang w:eastAsia="en-US"/>
              </w:rPr>
              <w:t>1</w:t>
            </w:r>
          </w:p>
        </w:tc>
      </w:tr>
    </w:tbl>
    <w:p w14:paraId="465DEE1B">
      <w:pPr>
        <w:rPr>
          <w:rFonts w:hint="eastAsia"/>
          <w:color w:val="auto"/>
        </w:rPr>
      </w:pPr>
    </w:p>
    <w:p w14:paraId="75D4D135">
      <w:pPr>
        <w:spacing w:line="360" w:lineRule="auto"/>
        <w:rPr>
          <w:rFonts w:hint="eastAsia"/>
          <w:color w:val="auto"/>
        </w:rPr>
      </w:pPr>
      <w:r>
        <w:rPr>
          <w:rFonts w:hint="eastAsia"/>
          <w:color w:val="auto"/>
        </w:rPr>
        <w:br w:type="page"/>
      </w:r>
      <w:r>
        <w:rPr>
          <w:rFonts w:hint="eastAsia" w:ascii="宋体" w:hAnsi="宋体" w:cs="宋体"/>
          <w:b/>
          <w:bCs/>
          <w:color w:val="auto"/>
          <w:sz w:val="24"/>
        </w:rPr>
        <w:t>（二）商务要求：</w:t>
      </w:r>
    </w:p>
    <w:p w14:paraId="6BA28A6D">
      <w:pPr>
        <w:widowControl/>
        <w:tabs>
          <w:tab w:val="left" w:pos="8010"/>
        </w:tabs>
        <w:spacing w:line="360" w:lineRule="auto"/>
        <w:rPr>
          <w:rFonts w:ascii="宋体" w:hAnsi="宋体"/>
          <w:b/>
          <w:color w:val="auto"/>
          <w:sz w:val="24"/>
        </w:rPr>
      </w:pPr>
      <w:r>
        <w:rPr>
          <w:rFonts w:hint="eastAsia" w:ascii="宋体" w:hAnsi="宋体"/>
          <w:b/>
          <w:color w:val="auto"/>
          <w:sz w:val="24"/>
        </w:rPr>
        <w:t>1</w:t>
      </w:r>
      <w:r>
        <w:rPr>
          <w:rFonts w:ascii="宋体" w:hAnsi="宋体"/>
          <w:b/>
          <w:color w:val="auto"/>
          <w:sz w:val="24"/>
        </w:rPr>
        <w:t>.</w:t>
      </w:r>
      <w:r>
        <w:rPr>
          <w:rFonts w:hint="eastAsia" w:ascii="宋体" w:hAnsi="宋体"/>
          <w:b/>
          <w:color w:val="auto"/>
          <w:sz w:val="24"/>
        </w:rPr>
        <w:t>技术资料要求：</w:t>
      </w:r>
    </w:p>
    <w:p w14:paraId="46515797">
      <w:pPr>
        <w:tabs>
          <w:tab w:val="left" w:pos="420"/>
          <w:tab w:val="bar" w:pos="11340"/>
        </w:tabs>
        <w:spacing w:line="360" w:lineRule="auto"/>
        <w:ind w:firstLine="480" w:firstLineChars="200"/>
        <w:rPr>
          <w:rFonts w:hint="eastAsia" w:ascii="宋体" w:hAnsi="宋体"/>
          <w:color w:val="auto"/>
          <w:sz w:val="24"/>
        </w:rPr>
      </w:pPr>
      <w:r>
        <w:rPr>
          <w:rFonts w:hint="eastAsia" w:ascii="宋体" w:hAnsi="宋体" w:cs="Arial"/>
          <w:color w:val="auto"/>
          <w:sz w:val="24"/>
        </w:rPr>
        <w:t>供应商应提供1套完整的技术资料，包括所有方案中提到的设备和控制软件的相关技术资料，主要有使用说明书、维护手册等，全套手册必须可在设备操作界面上实时方便查阅，并可以使用关键字检索。</w:t>
      </w:r>
    </w:p>
    <w:p w14:paraId="371DCA60">
      <w:pPr>
        <w:rPr>
          <w:color w:val="auto"/>
        </w:rPr>
      </w:pPr>
    </w:p>
    <w:p w14:paraId="53B8A3A8">
      <w:pPr>
        <w:widowControl/>
        <w:tabs>
          <w:tab w:val="left" w:pos="8010"/>
        </w:tabs>
        <w:spacing w:line="360" w:lineRule="auto"/>
        <w:rPr>
          <w:rFonts w:ascii="宋体" w:hAnsi="宋体"/>
          <w:b/>
          <w:color w:val="auto"/>
          <w:sz w:val="24"/>
        </w:rPr>
      </w:pPr>
      <w:r>
        <w:rPr>
          <w:rFonts w:ascii="宋体" w:hAnsi="宋体"/>
          <w:b/>
          <w:color w:val="auto"/>
          <w:sz w:val="24"/>
        </w:rPr>
        <w:t>2.</w:t>
      </w:r>
      <w:r>
        <w:rPr>
          <w:rFonts w:hint="eastAsia" w:ascii="宋体" w:hAnsi="宋体"/>
          <w:b/>
          <w:color w:val="auto"/>
          <w:sz w:val="24"/>
        </w:rPr>
        <w:t>安装、调试及验收要求：</w:t>
      </w:r>
    </w:p>
    <w:p w14:paraId="23D5B429">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2.1 出厂检验报告：供应商在设备发货前提供到采购人，或随设备发货提供到采购人。</w:t>
      </w:r>
    </w:p>
    <w:p w14:paraId="33A70AAE">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2.2 设备检查和清点：</w:t>
      </w:r>
    </w:p>
    <w:p w14:paraId="12BF151E">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设备到达现场后，双方一起根据合同清单对设备进行开箱检查和清点，并形成经双方认可的记录。如供应商届时不派人来, 则验收结果应以采购人的清点记录为最终结果。发现短缺、破损,采购人有权要求供应商两周内补发和负责更换。</w:t>
      </w:r>
    </w:p>
    <w:p w14:paraId="0711FB33">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2.3 设备现场安装：</w:t>
      </w:r>
    </w:p>
    <w:p w14:paraId="11A197A4">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现场安装应在设备检查、清点合格后开始。设备安装前，设备供应商应根据采购人现场条件设计安装方案，并经采购人认可。</w:t>
      </w:r>
      <w:r>
        <w:rPr>
          <w:rFonts w:hint="eastAsia" w:ascii="宋体" w:hAnsi="宋体" w:cs="宋体"/>
          <w:bCs/>
          <w:color w:val="auto"/>
          <w:sz w:val="24"/>
        </w:rPr>
        <w:t>供应商应提供设备安装、调试、试运行所需水、电、气连接等安装过程配套条件。</w:t>
      </w:r>
      <w:r>
        <w:rPr>
          <w:rFonts w:hint="eastAsia" w:ascii="宋体" w:hAnsi="宋体" w:cs="宋体"/>
          <w:color w:val="auto"/>
          <w:sz w:val="24"/>
        </w:rPr>
        <w:t>采购人方派相关人员给与配合，并负责提供设备安装过程所需的配套条件；设备安装、调试时间由设备供应商和采购人方协商确定。</w:t>
      </w:r>
    </w:p>
    <w:p w14:paraId="15F6CCF4">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设备安装、调试开始后，应在4周内完成；如遇不可抗力原因需延长设备安装、调试时间，应由设备供应商和采购人协商确定。</w:t>
      </w:r>
    </w:p>
    <w:p w14:paraId="2A70A15C">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2.4 双方在设备安装调试后1个月内完成验收,时间由设备供应商和采购人协商确定。</w:t>
      </w:r>
    </w:p>
    <w:p w14:paraId="72D2EBBB">
      <w:pPr>
        <w:pStyle w:val="5"/>
        <w:adjustRightInd/>
        <w:spacing w:line="360" w:lineRule="auto"/>
        <w:ind w:left="0" w:leftChars="0" w:firstLine="0" w:firstLineChars="0"/>
        <w:rPr>
          <w:rFonts w:hint="eastAsia" w:ascii="宋体" w:hAnsi="宋体" w:cs="宋体"/>
          <w:color w:val="auto"/>
        </w:rPr>
      </w:pPr>
      <w:r>
        <w:rPr>
          <w:rFonts w:hint="eastAsia" w:ascii="宋体" w:hAnsi="宋体" w:cs="宋体"/>
          <w:color w:val="auto"/>
        </w:rPr>
        <w:t>2.5 在采购人现场完成验收后，由采购人、供应商及相关人员依国家有关标准、合同及有关附件要求签署最终验收合格报告。</w:t>
      </w:r>
    </w:p>
    <w:p w14:paraId="20320920">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2.6 由于采购人的原因，供应商不能在规定的时间内完成安装和调试，则系统安装及培训顺延，时间由采购人通知和确定。</w:t>
      </w:r>
    </w:p>
    <w:p w14:paraId="6DB3CD6B">
      <w:pPr>
        <w:tabs>
          <w:tab w:val="left" w:pos="420"/>
          <w:tab w:val="bar" w:pos="11340"/>
        </w:tabs>
        <w:spacing w:line="360" w:lineRule="auto"/>
        <w:rPr>
          <w:rFonts w:ascii="宋体" w:hAnsi="宋体" w:cs="宋体"/>
          <w:color w:val="auto"/>
          <w:sz w:val="24"/>
        </w:rPr>
      </w:pPr>
      <w:r>
        <w:rPr>
          <w:rFonts w:hint="eastAsia" w:ascii="宋体" w:hAnsi="宋体" w:cs="宋体"/>
          <w:color w:val="auto"/>
          <w:sz w:val="24"/>
        </w:rPr>
        <w:t>2.7 在整个验收过程中，如遇到产品本身质量问题或供应商安装操作不当引起的设备损坏，供应商应两周内解决并承担损坏赔偿。</w:t>
      </w:r>
    </w:p>
    <w:p w14:paraId="5F7ADA66">
      <w:pPr>
        <w:pStyle w:val="2"/>
        <w:ind w:left="0" w:leftChars="0" w:firstLine="0" w:firstLineChars="0"/>
        <w:rPr>
          <w:rFonts w:hint="eastAsia" w:ascii="宋体" w:hAnsi="宋体" w:cs="宋体"/>
          <w:color w:val="auto"/>
          <w:sz w:val="24"/>
        </w:rPr>
      </w:pPr>
      <w:r>
        <w:rPr>
          <w:rFonts w:hint="eastAsia" w:ascii="宋体" w:hAnsi="宋体" w:cs="宋体"/>
          <w:color w:val="auto"/>
          <w:sz w:val="24"/>
        </w:rPr>
        <w:t>2.8预验收及最终验收不通过，合同终止，供应商退还全部已拨款项。</w:t>
      </w:r>
    </w:p>
    <w:p w14:paraId="7DBF05A8">
      <w:pPr>
        <w:rPr>
          <w:color w:val="auto"/>
        </w:rPr>
      </w:pPr>
    </w:p>
    <w:p w14:paraId="48CD5271">
      <w:pPr>
        <w:widowControl/>
        <w:tabs>
          <w:tab w:val="left" w:pos="8010"/>
        </w:tabs>
        <w:spacing w:line="360" w:lineRule="auto"/>
        <w:rPr>
          <w:rFonts w:ascii="宋体" w:hAnsi="宋体"/>
          <w:b/>
          <w:color w:val="auto"/>
          <w:sz w:val="24"/>
        </w:rPr>
      </w:pPr>
      <w:r>
        <w:rPr>
          <w:rFonts w:ascii="宋体" w:hAnsi="宋体"/>
          <w:b/>
          <w:color w:val="auto"/>
          <w:sz w:val="24"/>
        </w:rPr>
        <w:t>3.</w:t>
      </w:r>
      <w:r>
        <w:rPr>
          <w:rFonts w:hint="eastAsia" w:ascii="宋体" w:hAnsi="宋体"/>
          <w:b/>
          <w:color w:val="auto"/>
          <w:sz w:val="24"/>
        </w:rPr>
        <w:t>培训要求：</w:t>
      </w:r>
    </w:p>
    <w:p w14:paraId="47AF97C9">
      <w:pPr>
        <w:tabs>
          <w:tab w:val="left" w:pos="420"/>
          <w:tab w:val="bar" w:pos="11340"/>
        </w:tabs>
        <w:spacing w:line="360" w:lineRule="auto"/>
        <w:ind w:firstLine="480" w:firstLineChars="200"/>
        <w:rPr>
          <w:rFonts w:hint="eastAsia" w:ascii="宋体" w:hAnsi="宋体"/>
          <w:color w:val="auto"/>
          <w:sz w:val="24"/>
        </w:rPr>
      </w:pPr>
      <w:r>
        <w:rPr>
          <w:rFonts w:hint="eastAsia" w:ascii="宋体" w:hAnsi="宋体"/>
          <w:color w:val="auto"/>
          <w:sz w:val="24"/>
        </w:rPr>
        <w:t>供应商在到货安装调试完成后，应派出专业工程师在采购方现场提供一次系统的使用培训服务，直至采购方相关人员熟练掌握为止。质保期结束前三个月，由供应商的专业工程师提供一次上门设备检查服务以及设备操作与维护培训。具体时间由采购人决定。</w:t>
      </w:r>
    </w:p>
    <w:p w14:paraId="606F74C1">
      <w:pPr>
        <w:rPr>
          <w:color w:val="auto"/>
        </w:rPr>
      </w:pPr>
    </w:p>
    <w:p w14:paraId="72002455">
      <w:pPr>
        <w:widowControl/>
        <w:tabs>
          <w:tab w:val="left" w:pos="8010"/>
        </w:tabs>
        <w:spacing w:line="360" w:lineRule="auto"/>
        <w:rPr>
          <w:rFonts w:hint="eastAsia" w:ascii="宋体" w:hAnsi="宋体" w:cs="宋体"/>
          <w:b/>
          <w:color w:val="auto"/>
          <w:sz w:val="24"/>
        </w:rPr>
      </w:pPr>
      <w:r>
        <w:rPr>
          <w:rFonts w:hint="eastAsia" w:ascii="宋体" w:hAnsi="宋体" w:cs="宋体"/>
          <w:b/>
          <w:color w:val="auto"/>
          <w:sz w:val="24"/>
        </w:rPr>
        <w:t xml:space="preserve">4.售后及技术服务要求： </w:t>
      </w:r>
    </w:p>
    <w:p w14:paraId="54A5113E">
      <w:pPr>
        <w:tabs>
          <w:tab w:val="left" w:pos="420"/>
          <w:tab w:val="bar" w:pos="11340"/>
        </w:tabs>
        <w:spacing w:line="360" w:lineRule="auto"/>
        <w:rPr>
          <w:rFonts w:hint="eastAsia" w:ascii="宋体" w:hAnsi="宋体" w:cs="宋体"/>
          <w:color w:val="auto"/>
          <w:sz w:val="24"/>
        </w:rPr>
      </w:pPr>
      <w:r>
        <w:rPr>
          <w:rFonts w:hint="eastAsia" w:ascii="宋体" w:hAnsi="宋体" w:cs="宋体"/>
          <w:color w:val="auto"/>
          <w:sz w:val="24"/>
        </w:rPr>
        <w:t>4.1保修期：质量保证期从签署最终验收报告之日起计算，保修期不少于1年。</w:t>
      </w:r>
    </w:p>
    <w:p w14:paraId="1A30AE7F">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4.1.1保修期内，在质保期内有关设备故障（非人为或者误操作等原因）发生的任何费用（如：硬件更换、维修差旅费、软件问题调试的差旅费）由供应商自行承担。</w:t>
      </w:r>
    </w:p>
    <w:p w14:paraId="46D42346">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4.1.2保修期内，供应商负责设备的所有相关软件在最新版本发布后同步升级；</w:t>
      </w:r>
    </w:p>
    <w:p w14:paraId="5F067206">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4.1.3供应商应承诺，在保修期过后，供应商继续向采购人以最优惠费率提供及时有效的售后服务和零备件供应，供应商应承诺保证零备件供应期不少于10年；所更换的部件可享受顺延保修期优惠。</w:t>
      </w:r>
    </w:p>
    <w:p w14:paraId="0D6DE06E">
      <w:pPr>
        <w:pStyle w:val="2"/>
        <w:spacing w:after="0" w:line="360" w:lineRule="auto"/>
        <w:ind w:left="0" w:leftChars="0" w:firstLine="240" w:firstLineChars="100"/>
        <w:rPr>
          <w:rFonts w:hint="eastAsia" w:ascii="宋体" w:hAnsi="宋体" w:cs="宋体"/>
          <w:color w:val="auto"/>
          <w:sz w:val="24"/>
        </w:rPr>
      </w:pPr>
      <w:r>
        <w:rPr>
          <w:rFonts w:hint="eastAsia" w:ascii="宋体" w:hAnsi="宋体" w:cs="宋体"/>
          <w:color w:val="auto"/>
          <w:sz w:val="24"/>
        </w:rPr>
        <w:t>4.1.4保修期内,如果（非人为或者误操作等原因）导致仪器设备发生故障，供应商要调查故障原因并修复直至满足最终验收指标和性能的要求。</w:t>
      </w:r>
    </w:p>
    <w:p w14:paraId="24FEFD31">
      <w:pPr>
        <w:pStyle w:val="2"/>
        <w:spacing w:after="0" w:line="360" w:lineRule="auto"/>
        <w:ind w:left="0" w:leftChars="0" w:firstLine="0" w:firstLineChars="0"/>
        <w:rPr>
          <w:rFonts w:hint="eastAsia" w:ascii="宋体" w:hAnsi="宋体" w:cs="宋体"/>
          <w:color w:val="auto"/>
          <w:sz w:val="24"/>
        </w:rPr>
      </w:pPr>
      <w:r>
        <w:rPr>
          <w:rFonts w:hint="eastAsia" w:ascii="宋体" w:hAnsi="宋体" w:cs="宋体"/>
          <w:color w:val="auto"/>
          <w:sz w:val="24"/>
        </w:rPr>
        <w:t>4.2售后服务要求：</w:t>
      </w:r>
    </w:p>
    <w:p w14:paraId="78C4D1C4">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4.2.1维修响应时间：</w:t>
      </w:r>
    </w:p>
    <w:p w14:paraId="23C6799F">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供应商接到故障报告后4小时予以电话响应并给出方案，如无法通过电话解决故障，将在24小时内派专业工程师到现场解决问题，如有需要将在7日内派原厂工程师到现场解决问题；</w:t>
      </w:r>
    </w:p>
    <w:p w14:paraId="576E037B">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4.2.2供应商应提供7*24小时的技术支持热线电话；</w:t>
      </w:r>
    </w:p>
    <w:p w14:paraId="0D38201C">
      <w:pPr>
        <w:tabs>
          <w:tab w:val="left" w:pos="420"/>
          <w:tab w:val="bar" w:pos="11340"/>
        </w:tabs>
        <w:spacing w:line="360" w:lineRule="auto"/>
        <w:ind w:firstLine="240" w:firstLineChars="100"/>
        <w:rPr>
          <w:rFonts w:hint="eastAsia" w:ascii="宋体" w:hAnsi="宋体" w:cs="宋体"/>
          <w:color w:val="auto"/>
          <w:sz w:val="24"/>
        </w:rPr>
      </w:pPr>
      <w:r>
        <w:rPr>
          <w:rFonts w:hint="eastAsia" w:ascii="宋体" w:hAnsi="宋体" w:cs="宋体"/>
          <w:color w:val="auto"/>
          <w:sz w:val="24"/>
        </w:rPr>
        <w:t>4.2.3要求供应商提供的其它技术服务内容：</w:t>
      </w:r>
    </w:p>
    <w:p w14:paraId="0EE31065">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4.2.3.1供应商须保证本合同系统硬件均系原装新品；</w:t>
      </w:r>
    </w:p>
    <w:p w14:paraId="7ED4A1AC">
      <w:pPr>
        <w:tabs>
          <w:tab w:val="left" w:pos="420"/>
          <w:tab w:val="bar" w:pos="11340"/>
        </w:tabs>
        <w:spacing w:line="360" w:lineRule="auto"/>
        <w:ind w:firstLine="480" w:firstLineChars="200"/>
        <w:rPr>
          <w:rFonts w:hint="eastAsia" w:ascii="宋体" w:hAnsi="宋体" w:cs="宋体"/>
          <w:color w:val="auto"/>
          <w:sz w:val="24"/>
        </w:rPr>
      </w:pPr>
      <w:r>
        <w:rPr>
          <w:rFonts w:hint="eastAsia" w:ascii="宋体" w:hAnsi="宋体" w:cs="宋体"/>
          <w:color w:val="auto"/>
          <w:sz w:val="24"/>
        </w:rPr>
        <w:t>4.2.3.2供应商须保证所提供的控制软件为正版软件，并能得到原产厂家技术支持及升级服务。</w:t>
      </w:r>
    </w:p>
    <w:p w14:paraId="485F48A5">
      <w:pPr>
        <w:rPr>
          <w:color w:val="auto"/>
        </w:rPr>
      </w:pPr>
    </w:p>
    <w:p w14:paraId="2AF30C84">
      <w:pPr>
        <w:widowControl/>
        <w:tabs>
          <w:tab w:val="left" w:pos="8010"/>
        </w:tabs>
        <w:spacing w:line="360" w:lineRule="auto"/>
        <w:rPr>
          <w:rFonts w:ascii="宋体" w:hAnsi="宋体"/>
          <w:b/>
          <w:color w:val="auto"/>
          <w:sz w:val="24"/>
        </w:rPr>
      </w:pPr>
      <w:r>
        <w:rPr>
          <w:rFonts w:ascii="宋体" w:hAnsi="宋体"/>
          <w:b/>
          <w:color w:val="auto"/>
          <w:sz w:val="24"/>
        </w:rPr>
        <w:t>5.</w:t>
      </w:r>
      <w:r>
        <w:rPr>
          <w:rFonts w:hint="eastAsia" w:ascii="宋体" w:hAnsi="宋体"/>
          <w:b/>
          <w:color w:val="auto"/>
          <w:sz w:val="24"/>
        </w:rPr>
        <w:t>包装及运输要求：</w:t>
      </w:r>
    </w:p>
    <w:p w14:paraId="05B5EA51">
      <w:pPr>
        <w:tabs>
          <w:tab w:val="left" w:pos="420"/>
          <w:tab w:val="bar" w:pos="11340"/>
        </w:tabs>
        <w:spacing w:line="360" w:lineRule="auto"/>
        <w:rPr>
          <w:color w:val="auto"/>
          <w:sz w:val="24"/>
        </w:rPr>
      </w:pPr>
      <w:r>
        <w:rPr>
          <w:color w:val="auto"/>
          <w:sz w:val="24"/>
        </w:rPr>
        <w:t>5.1</w:t>
      </w:r>
      <w:r>
        <w:rPr>
          <w:rFonts w:hint="eastAsia"/>
          <w:color w:val="auto"/>
          <w:sz w:val="24"/>
        </w:rPr>
        <w:t xml:space="preserve"> 供应商负责设备运输到交货地点。</w:t>
      </w:r>
    </w:p>
    <w:p w14:paraId="03126989">
      <w:pPr>
        <w:widowControl/>
        <w:spacing w:line="360" w:lineRule="auto"/>
        <w:rPr>
          <w:rFonts w:hint="eastAsia" w:ascii="宋体" w:hAnsi="宋体"/>
          <w:color w:val="auto"/>
          <w:sz w:val="24"/>
        </w:rPr>
      </w:pPr>
      <w:r>
        <w:rPr>
          <w:color w:val="auto"/>
          <w:sz w:val="24"/>
        </w:rPr>
        <w:t>5.2</w:t>
      </w:r>
      <w:r>
        <w:rPr>
          <w:rFonts w:hint="eastAsia"/>
          <w:color w:val="auto"/>
          <w:sz w:val="24"/>
        </w:rPr>
        <w:t xml:space="preserve"> </w:t>
      </w:r>
      <w:r>
        <w:rPr>
          <w:color w:val="auto"/>
          <w:sz w:val="24"/>
        </w:rPr>
        <w:t>无论在何种运输方式下，供应商应保证货物包装完好无锈蚀，安全运抵目的地。应使用崭新坚固的包装（标准包装），适合于空运、海运或陆运等长途运输方式和标准；包装箱应防潮、防锈、防震、防粗暴装卸、适合气候变化；供应商应对任何由于不当包装或防护措施不利而导致的商品损坏、损失、费用增长等后果负责。</w:t>
      </w:r>
    </w:p>
    <w:p w14:paraId="7E972FF1">
      <w:pPr>
        <w:rPr>
          <w:color w:val="auto"/>
        </w:rPr>
      </w:pPr>
    </w:p>
    <w:p w14:paraId="43063238">
      <w:pPr>
        <w:widowControl/>
        <w:spacing w:line="360" w:lineRule="auto"/>
        <w:rPr>
          <w:rFonts w:ascii="宋体" w:hAnsi="宋体"/>
          <w:color w:val="auto"/>
          <w:sz w:val="24"/>
        </w:rPr>
      </w:pPr>
      <w:r>
        <w:rPr>
          <w:rFonts w:hint="eastAsia" w:ascii="宋体" w:hAnsi="宋体"/>
          <w:b/>
          <w:color w:val="auto"/>
          <w:sz w:val="24"/>
        </w:rPr>
        <w:t>6、</w:t>
      </w:r>
      <w:r>
        <w:rPr>
          <w:rFonts w:ascii="宋体" w:hAnsi="宋体"/>
          <w:b/>
          <w:color w:val="auto"/>
          <w:sz w:val="24"/>
        </w:rPr>
        <w:t>交货日期：</w:t>
      </w:r>
      <w:r>
        <w:rPr>
          <w:rFonts w:ascii="宋体" w:hAnsi="宋体"/>
          <w:color w:val="auto"/>
          <w:sz w:val="24"/>
        </w:rPr>
        <w:t>合同签订后的</w:t>
      </w:r>
      <w:r>
        <w:rPr>
          <w:rFonts w:hint="eastAsia" w:ascii="宋体" w:hAnsi="宋体"/>
          <w:color w:val="auto"/>
          <w:sz w:val="24"/>
        </w:rPr>
        <w:t>6</w:t>
      </w:r>
      <w:r>
        <w:rPr>
          <w:rFonts w:ascii="宋体" w:hAnsi="宋体"/>
          <w:color w:val="auto"/>
          <w:sz w:val="24"/>
        </w:rPr>
        <w:t>个月</w:t>
      </w:r>
      <w:r>
        <w:rPr>
          <w:rFonts w:hint="eastAsia" w:ascii="宋体" w:hAnsi="宋体"/>
          <w:color w:val="auto"/>
          <w:sz w:val="24"/>
        </w:rPr>
        <w:t>内</w:t>
      </w:r>
      <w:r>
        <w:rPr>
          <w:rFonts w:ascii="宋体" w:hAnsi="宋体"/>
          <w:color w:val="auto"/>
          <w:sz w:val="24"/>
        </w:rPr>
        <w:t>交货</w:t>
      </w:r>
    </w:p>
    <w:p w14:paraId="3080E9F2">
      <w:pPr>
        <w:rPr>
          <w:color w:val="auto"/>
        </w:rPr>
      </w:pPr>
    </w:p>
    <w:p w14:paraId="23078854">
      <w:pPr>
        <w:widowControl/>
        <w:spacing w:line="360" w:lineRule="auto"/>
        <w:rPr>
          <w:rFonts w:hint="eastAsia" w:ascii="宋体" w:hAnsi="宋体"/>
          <w:color w:val="auto"/>
          <w:sz w:val="24"/>
        </w:rPr>
      </w:pPr>
      <w:bookmarkStart w:id="0" w:name="OLE_LINK3"/>
      <w:r>
        <w:rPr>
          <w:rFonts w:hint="eastAsia" w:ascii="宋体" w:hAnsi="宋体"/>
          <w:b/>
          <w:color w:val="auto"/>
          <w:sz w:val="24"/>
        </w:rPr>
        <w:t>7、</w:t>
      </w:r>
      <w:r>
        <w:rPr>
          <w:rFonts w:ascii="宋体" w:hAnsi="宋体"/>
          <w:b/>
          <w:color w:val="auto"/>
          <w:sz w:val="24"/>
        </w:rPr>
        <w:t>交货地点：</w:t>
      </w:r>
      <w:bookmarkEnd w:id="0"/>
      <w:r>
        <w:rPr>
          <w:rFonts w:hint="eastAsia" w:ascii="宋体" w:hAnsi="宋体"/>
          <w:color w:val="auto"/>
          <w:sz w:val="24"/>
        </w:rPr>
        <w:t>中国科学院微电子研究所指定地点</w:t>
      </w:r>
    </w:p>
    <w:p w14:paraId="7B4EEABE">
      <w:pPr>
        <w:rPr>
          <w:color w:val="auto"/>
        </w:rPr>
      </w:pPr>
    </w:p>
    <w:p w14:paraId="6FD28981">
      <w:pPr>
        <w:widowControl/>
        <w:spacing w:line="360" w:lineRule="auto"/>
        <w:rPr>
          <w:rFonts w:hint="eastAsia" w:ascii="宋体" w:hAnsi="宋体"/>
          <w:color w:val="auto"/>
          <w:sz w:val="24"/>
        </w:rPr>
      </w:pPr>
      <w:r>
        <w:rPr>
          <w:rFonts w:hint="eastAsia" w:ascii="宋体" w:hAnsi="宋体"/>
          <w:b/>
          <w:color w:val="auto"/>
          <w:sz w:val="24"/>
        </w:rPr>
        <w:t>8、执行的相关标准：</w:t>
      </w:r>
      <w:r>
        <w:rPr>
          <w:rFonts w:hint="eastAsia" w:ascii="宋体" w:hAnsi="宋体"/>
          <w:color w:val="auto"/>
          <w:sz w:val="24"/>
        </w:rPr>
        <w:t>无</w:t>
      </w:r>
    </w:p>
    <w:p w14:paraId="074C565D">
      <w:pPr>
        <w:rPr>
          <w:color w:val="auto"/>
        </w:rPr>
      </w:pPr>
    </w:p>
    <w:p w14:paraId="019B1B92">
      <w:pPr>
        <w:widowControl/>
        <w:spacing w:line="360" w:lineRule="auto"/>
        <w:rPr>
          <w:rFonts w:ascii="宋体" w:hAnsi="宋体"/>
          <w:b/>
          <w:color w:val="auto"/>
          <w:sz w:val="24"/>
        </w:rPr>
      </w:pPr>
      <w:r>
        <w:rPr>
          <w:rFonts w:hint="eastAsia" w:ascii="宋体" w:hAnsi="宋体"/>
          <w:b/>
          <w:color w:val="auto"/>
          <w:sz w:val="24"/>
        </w:rPr>
        <w:t>9、</w:t>
      </w:r>
      <w:r>
        <w:rPr>
          <w:rFonts w:ascii="宋体" w:hAnsi="宋体"/>
          <w:b/>
          <w:color w:val="auto"/>
          <w:sz w:val="24"/>
        </w:rPr>
        <w:t>其它</w:t>
      </w:r>
    </w:p>
    <w:p w14:paraId="3878C8C5">
      <w:pPr>
        <w:widowControl/>
        <w:spacing w:line="360" w:lineRule="auto"/>
        <w:rPr>
          <w:rFonts w:ascii="宋体" w:hAnsi="宋体"/>
          <w:color w:val="auto"/>
          <w:sz w:val="24"/>
        </w:rPr>
      </w:pPr>
      <w:r>
        <w:rPr>
          <w:rFonts w:hint="eastAsia" w:ascii="宋体" w:hAnsi="宋体"/>
          <w:color w:val="auto"/>
          <w:sz w:val="24"/>
        </w:rPr>
        <w:t>9.1</w:t>
      </w:r>
      <w:r>
        <w:rPr>
          <w:rFonts w:ascii="宋体" w:hAnsi="宋体"/>
          <w:color w:val="auto"/>
          <w:sz w:val="24"/>
        </w:rPr>
        <w:t>对仪器设备生产厂家要求：</w:t>
      </w:r>
    </w:p>
    <w:p w14:paraId="0520F84E">
      <w:pPr>
        <w:widowControl/>
        <w:spacing w:line="360" w:lineRule="auto"/>
        <w:ind w:firstLine="480" w:firstLineChars="200"/>
        <w:rPr>
          <w:rFonts w:ascii="宋体" w:hAnsi="宋体"/>
          <w:color w:val="auto"/>
          <w:sz w:val="24"/>
        </w:rPr>
      </w:pPr>
      <w:r>
        <w:rPr>
          <w:rFonts w:ascii="宋体" w:hAnsi="宋体"/>
          <w:color w:val="auto"/>
          <w:sz w:val="24"/>
        </w:rPr>
        <w:t>厂家应具备一定规模的科研、生产、技术支持及售后服务能力。</w:t>
      </w:r>
    </w:p>
    <w:p w14:paraId="396A1AC0">
      <w:pPr>
        <w:widowControl/>
        <w:spacing w:line="360" w:lineRule="auto"/>
        <w:ind w:firstLine="480" w:firstLineChars="200"/>
        <w:rPr>
          <w:rFonts w:ascii="宋体" w:hAnsi="宋体"/>
          <w:color w:val="auto"/>
          <w:sz w:val="24"/>
        </w:rPr>
      </w:pPr>
      <w:r>
        <w:rPr>
          <w:rFonts w:ascii="宋体" w:hAnsi="宋体"/>
          <w:color w:val="auto"/>
          <w:sz w:val="24"/>
        </w:rPr>
        <w:t>厂家在国内设有技术支持中心及维修中心 。</w:t>
      </w:r>
    </w:p>
    <w:p w14:paraId="531321E1">
      <w:pPr>
        <w:widowControl/>
        <w:spacing w:line="360" w:lineRule="auto"/>
        <w:rPr>
          <w:rFonts w:hint="eastAsia" w:ascii="宋体" w:hAnsi="宋体"/>
          <w:color w:val="auto"/>
          <w:sz w:val="24"/>
        </w:rPr>
      </w:pPr>
      <w:r>
        <w:rPr>
          <w:rFonts w:hint="eastAsia" w:ascii="宋体" w:hAnsi="宋体"/>
          <w:color w:val="auto"/>
          <w:sz w:val="24"/>
        </w:rPr>
        <w:t>★9.2 供应商同意并保证尊重任何他方的知识产权及其它合法权益，承诺其所提供的产品或服务均不得侵犯第三方知识产权及其它合法权益，否则所引起的全部责任均应当由供应商承担。</w:t>
      </w:r>
    </w:p>
    <w:p w14:paraId="5227E423">
      <w:pPr>
        <w:rPr>
          <w:color w:val="auto"/>
        </w:rPr>
      </w:pPr>
    </w:p>
    <w:p w14:paraId="5F993C15">
      <w:pPr>
        <w:widowControl/>
        <w:tabs>
          <w:tab w:val="left" w:pos="900"/>
        </w:tabs>
        <w:spacing w:line="360" w:lineRule="auto"/>
        <w:jc w:val="left"/>
        <w:rPr>
          <w:rFonts w:hint="eastAsia" w:ascii="宋体" w:hAnsi="宋体" w:cs="宋体"/>
          <w:color w:val="auto"/>
          <w:sz w:val="24"/>
        </w:rPr>
      </w:pPr>
      <w:r>
        <w:rPr>
          <w:rFonts w:hint="eastAsia" w:ascii="宋体" w:hAnsi="宋体" w:cs="宋体"/>
          <w:b/>
          <w:bCs/>
          <w:color w:val="auto"/>
          <w:kern w:val="0"/>
          <w:sz w:val="24"/>
        </w:rPr>
        <w:t>10、付款方式：</w:t>
      </w:r>
      <w:r>
        <w:rPr>
          <w:rFonts w:hint="eastAsia" w:ascii="宋体" w:hAnsi="宋体"/>
          <w:color w:val="auto"/>
          <w:sz w:val="24"/>
        </w:rPr>
        <w:t>合同签订后支付30%；供应商预验收通过并到货后支付40%；采购人签字并加盖单位公章后的验收报告支付30%。</w:t>
      </w:r>
    </w:p>
    <w:p w14:paraId="659B0749">
      <w:pPr>
        <w:rPr>
          <w:rFonts w:hint="eastAsia"/>
          <w:color w:val="auto"/>
        </w:rPr>
      </w:pPr>
    </w:p>
    <w:p w14:paraId="0C854DA2">
      <w:pPr>
        <w:widowControl/>
        <w:tabs>
          <w:tab w:val="left" w:pos="0"/>
        </w:tabs>
        <w:spacing w:line="360" w:lineRule="auto"/>
        <w:jc w:val="left"/>
        <w:rPr>
          <w:rFonts w:hint="eastAsia" w:ascii="宋体" w:hAnsi="宋体" w:cs="宋体"/>
          <w:color w:val="auto"/>
          <w:kern w:val="0"/>
          <w:sz w:val="24"/>
        </w:rPr>
      </w:pPr>
      <w:r>
        <w:rPr>
          <w:rFonts w:hint="eastAsia" w:ascii="宋体" w:hAnsi="宋体" w:cs="宋体"/>
          <w:b/>
          <w:bCs/>
          <w:color w:val="auto"/>
          <w:kern w:val="0"/>
          <w:sz w:val="24"/>
        </w:rPr>
        <w:t>★11</w:t>
      </w:r>
      <w:r>
        <w:rPr>
          <w:rFonts w:hint="eastAsia" w:ascii="宋体" w:hAnsi="宋体" w:cs="宋体"/>
          <w:b/>
          <w:bCs/>
          <w:color w:val="auto"/>
          <w:sz w:val="24"/>
        </w:rPr>
        <w:t>、投标报价要求：</w:t>
      </w:r>
    </w:p>
    <w:p w14:paraId="7AA05BB0">
      <w:pPr>
        <w:widowControl/>
        <w:tabs>
          <w:tab w:val="left" w:pos="900"/>
        </w:tabs>
        <w:spacing w:line="360" w:lineRule="auto"/>
        <w:jc w:val="left"/>
        <w:rPr>
          <w:rFonts w:hint="eastAsia" w:ascii="宋体" w:hAnsi="宋体" w:cs="宋体"/>
          <w:color w:val="auto"/>
          <w:sz w:val="24"/>
        </w:rPr>
      </w:pPr>
      <w:r>
        <w:rPr>
          <w:rFonts w:hint="eastAsia" w:ascii="宋体" w:hAnsi="宋体" w:cs="宋体"/>
          <w:color w:val="auto"/>
          <w:sz w:val="24"/>
        </w:rPr>
        <w:t>（1）本项目不允许采购进口产品（进口产品是指通过中国海关报关验放进入中国境内且产自关境外的产品）</w:t>
      </w:r>
    </w:p>
    <w:p w14:paraId="0D203884">
      <w:pPr>
        <w:tabs>
          <w:tab w:val="left" w:pos="900"/>
        </w:tabs>
        <w:spacing w:line="360" w:lineRule="auto"/>
        <w:rPr>
          <w:rFonts w:hint="eastAsia" w:ascii="宋体" w:hAnsi="宋体" w:cs="宋体"/>
          <w:color w:val="auto"/>
          <w:sz w:val="24"/>
        </w:rPr>
      </w:pPr>
      <w:r>
        <w:rPr>
          <w:rFonts w:hint="eastAsia" w:ascii="宋体" w:hAnsi="宋体" w:cs="宋体"/>
          <w:color w:val="auto"/>
          <w:sz w:val="24"/>
        </w:rPr>
        <w:t>（2）国产产品与服务报项目现场交货人民币价。报价中需包括制造、装配和发运货物所使用的材料、部件及货物本身已支付或将支付的产品税、销售税和其它税费。</w:t>
      </w:r>
    </w:p>
    <w:p w14:paraId="0CD4E32F">
      <w:pPr>
        <w:tabs>
          <w:tab w:val="left" w:pos="900"/>
        </w:tabs>
        <w:spacing w:line="360" w:lineRule="auto"/>
        <w:rPr>
          <w:rFonts w:hint="eastAsia" w:ascii="宋体" w:hAnsi="宋体" w:cs="宋体"/>
          <w:color w:val="auto"/>
          <w:sz w:val="24"/>
        </w:rPr>
      </w:pPr>
      <w:r>
        <w:rPr>
          <w:rFonts w:hint="eastAsia" w:ascii="宋体" w:hAnsi="宋体" w:cs="宋体"/>
          <w:color w:val="auto"/>
          <w:sz w:val="24"/>
        </w:rPr>
        <w:t>（3）在中国境内的海关特殊监管区域内生产或加工销往境内其他地区的产品，不视为政府采购项下的进口产品，报CIP项目现场美元、欧元、英镑、日元或人民币价(不包括外贸代理费应向中华人民共和国政府缴纳的进口环节税。)投标报价如为外币，按以下公式换算为人民币，换算后的人民币价格若高于采购预算(设置最高限价的，以最高限价为准)，投标将拒绝:换算后人民币价格=投标报价(外币)x汇率(说明:汇率为开标当日中国银行总行首次发布的外币对人民币的现汇卖出价)。</w:t>
      </w:r>
    </w:p>
    <w:p w14:paraId="6AF60761">
      <w:pPr>
        <w:widowControl/>
        <w:spacing w:line="360" w:lineRule="auto"/>
        <w:jc w:val="left"/>
        <w:rPr>
          <w:rFonts w:hint="eastAsia" w:ascii="宋体" w:hAnsi="宋体" w:cs="宋体"/>
          <w:bCs/>
          <w:color w:val="auto"/>
          <w:sz w:val="24"/>
        </w:rPr>
      </w:pPr>
      <w:r>
        <w:rPr>
          <w:rFonts w:hint="eastAsia" w:ascii="宋体" w:hAnsi="宋体" w:cs="宋体"/>
          <w:bCs/>
          <w:color w:val="auto"/>
          <w:sz w:val="24"/>
        </w:rPr>
        <w:t>（4）上述价格的构成须按在分项报价表中格式要求详细列出。</w:t>
      </w:r>
    </w:p>
    <w:p w14:paraId="271D8520">
      <w:pPr>
        <w:rPr>
          <w:rFonts w:hint="eastAsia"/>
          <w:color w:val="auto"/>
        </w:rPr>
      </w:pPr>
    </w:p>
    <w:p w14:paraId="0B57FEFF">
      <w:pPr>
        <w:widowControl/>
        <w:tabs>
          <w:tab w:val="left" w:pos="900"/>
        </w:tabs>
        <w:spacing w:line="360" w:lineRule="auto"/>
        <w:jc w:val="left"/>
        <w:rPr>
          <w:rFonts w:hint="eastAsia" w:ascii="宋体" w:hAnsi="宋体" w:cs="宋体"/>
          <w:b/>
          <w:bCs/>
          <w:color w:val="auto"/>
          <w:kern w:val="0"/>
          <w:sz w:val="24"/>
          <w:u w:val="single"/>
        </w:rPr>
      </w:pPr>
      <w:r>
        <w:rPr>
          <w:rFonts w:hint="eastAsia" w:ascii="宋体" w:hAnsi="宋体" w:cs="宋体"/>
          <w:b/>
          <w:bCs/>
          <w:color w:val="auto"/>
          <w:kern w:val="0"/>
          <w:sz w:val="24"/>
        </w:rPr>
        <w:t>12、是否允许采购进口产品：</w:t>
      </w:r>
      <w:r>
        <w:rPr>
          <w:rFonts w:hint="eastAsia" w:ascii="宋体" w:hAnsi="宋体" w:cs="宋体"/>
          <w:b/>
          <w:bCs/>
          <w:color w:val="auto"/>
          <w:kern w:val="0"/>
          <w:sz w:val="24"/>
          <w:u w:val="single"/>
        </w:rPr>
        <w:t xml:space="preserve">否 </w:t>
      </w:r>
    </w:p>
    <w:p w14:paraId="5E4796E5">
      <w:pPr>
        <w:rPr>
          <w:rFonts w:hint="eastAsia"/>
          <w:color w:val="auto"/>
        </w:rPr>
      </w:pPr>
    </w:p>
    <w:p w14:paraId="07FA5863">
      <w:pPr>
        <w:widowControl/>
        <w:tabs>
          <w:tab w:val="left" w:pos="900"/>
        </w:tabs>
        <w:spacing w:line="360" w:lineRule="auto"/>
        <w:jc w:val="left"/>
        <w:rPr>
          <w:rFonts w:hint="eastAsia" w:ascii="宋体" w:hAnsi="宋体" w:cs="宋体"/>
          <w:b/>
          <w:bCs/>
          <w:color w:val="auto"/>
          <w:kern w:val="0"/>
          <w:sz w:val="24"/>
        </w:rPr>
      </w:pPr>
      <w:r>
        <w:rPr>
          <w:rFonts w:hint="eastAsia" w:ascii="宋体" w:hAnsi="宋体" w:cs="宋体"/>
          <w:b/>
          <w:bCs/>
          <w:color w:val="auto"/>
          <w:kern w:val="0"/>
          <w:sz w:val="24"/>
        </w:rPr>
        <w:t>13、预算金额：860万元</w:t>
      </w:r>
    </w:p>
    <w:p w14:paraId="1A1CED2B">
      <w:pPr>
        <w:widowControl/>
        <w:tabs>
          <w:tab w:val="left" w:pos="900"/>
        </w:tabs>
        <w:spacing w:line="360" w:lineRule="auto"/>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rPr>
        <w:t>最高限价：860万元</w:t>
      </w:r>
    </w:p>
    <w:p w14:paraId="58C01F0D">
      <w:bookmarkStart w:id="1" w:name="_GoBack"/>
      <w:bookmarkEnd w:id="1"/>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85CFD">
    <w:pPr>
      <w:pStyle w:val="6"/>
      <w:jc w:val="center"/>
    </w:pPr>
    <w:r>
      <w:fldChar w:fldCharType="begin"/>
    </w:r>
    <w:r>
      <w:instrText xml:space="preserve">PAGE   \* MERGEFORMAT</w:instrText>
    </w:r>
    <w:r>
      <w:fldChar w:fldCharType="separate"/>
    </w:r>
    <w:r>
      <w:rPr>
        <w:lang w:val="zh-CN"/>
      </w:rPr>
      <w:t>76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FE57">
    <w:pPr>
      <w:pStyle w:val="6"/>
      <w:jc w:val="center"/>
    </w:pPr>
    <w:r>
      <w:fldChar w:fldCharType="begin"/>
    </w:r>
    <w:r>
      <w:instrText xml:space="preserve">PAGE   \* MERGEFORMAT</w:instrText>
    </w:r>
    <w:r>
      <w:fldChar w:fldCharType="separate"/>
    </w:r>
    <w:r>
      <w:rPr>
        <w:lang w:val="zh-CN"/>
      </w:rPr>
      <w:t>44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AD3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45425"/>
    <w:rsid w:val="13845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List 2"/>
    <w:basedOn w:val="1"/>
    <w:qFormat/>
    <w:uiPriority w:val="0"/>
    <w:pPr>
      <w:adjustRightInd w:val="0"/>
      <w:spacing w:line="360" w:lineRule="atLeast"/>
      <w:ind w:left="100" w:leftChars="200" w:hanging="200" w:hangingChars="200"/>
      <w:jc w:val="left"/>
      <w:textAlignment w:val="baseline"/>
    </w:pPr>
    <w:rPr>
      <w:kern w:val="0"/>
      <w:sz w:val="24"/>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customStyle="1" w:styleId="9">
    <w:name w:val="Sol-702GF报告-正文-内容"/>
    <w:basedOn w:val="1"/>
    <w:qFormat/>
    <w:uiPriority w:val="0"/>
    <w:pPr>
      <w:widowControl/>
      <w:spacing w:line="360" w:lineRule="auto"/>
      <w:ind w:firstLine="200" w:firstLineChars="200"/>
    </w:pPr>
    <w:rPr>
      <w:rFonts w:ascii="宋体" w:cs="宋体"/>
      <w:sz w:val="24"/>
    </w:rPr>
  </w:style>
  <w:style w:type="paragraph" w:customStyle="1" w:styleId="10">
    <w:name w:val="A正文"/>
    <w:basedOn w:val="1"/>
    <w:qFormat/>
    <w:uiPriority w:val="0"/>
    <w:pPr>
      <w:adjustRightInd w:val="0"/>
      <w:snapToGrid w:val="0"/>
      <w:spacing w:line="360" w:lineRule="auto"/>
      <w:ind w:firstLine="480" w:firstLineChars="200"/>
    </w:pPr>
    <w:rPr>
      <w:sz w:val="24"/>
    </w:rPr>
  </w:style>
  <w:style w:type="paragraph" w:styleId="11">
    <w:name w:val="List Paragraph"/>
    <w:basedOn w:val="1"/>
    <w:qFormat/>
    <w:uiPriority w:val="34"/>
    <w:pPr>
      <w:ind w:left="205" w:right="169" w:firstLine="655"/>
    </w:pPr>
    <w:rPr>
      <w:rFonts w:ascii="Cambria" w:hAnsi="Cambria"/>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2026-05-11T07:02:00Z</dcterms:created>
  <dc:creator>H</dc:creator>
  <cp:lastModifiedBy>H</cp:lastModifiedBy>
  <dcterms:modified xsi:type="dcterms:W3CDTF">2026-05-11T07:02:58Z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3A9F2776F44A48F1913B9AEFAC30179D_11</vt:lpwstr>
  </property>
  <property fmtid="{D5CDD505-2E9C-101B-9397-08002B2CF9AE}" pid="4" name="KSOTemplateDocerSaveRecord">
    <vt:lpwstr>eyJoZGlkIjoiZGI0MzJlOTY4YmYyMDM4Y2EzYWM5NjNhYjE4MTMyYzIiLCJ1c2VySWQiOiI5OTQ3NTAxMjIifQ==</vt:lpwstr>
  </property>
</Properties>
</file>