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979CC">
      <w:pPr>
        <w:adjustRightInd w:val="0"/>
        <w:snapToGrid w:val="0"/>
        <w:spacing w:after="156" w:afterLines="50" w:line="360" w:lineRule="auto"/>
        <w:jc w:val="center"/>
        <w:outlineLvl w:val="0"/>
        <w:rPr>
          <w:rFonts w:hint="eastAsia" w:ascii="黑体" w:eastAsia="黑体"/>
          <w:b/>
          <w:color w:val="auto"/>
          <w:kern w:val="44"/>
          <w:sz w:val="48"/>
          <w:szCs w:val="20"/>
          <w:highlight w:val="none"/>
        </w:rPr>
      </w:pPr>
      <w:bookmarkStart w:id="5" w:name="_GoBack"/>
      <w:bookmarkEnd w:id="5"/>
      <w:r>
        <w:rPr>
          <w:rFonts w:hint="eastAsia" w:ascii="宋体" w:hAnsi="宋体"/>
          <w:b/>
          <w:color w:val="auto"/>
          <w:sz w:val="32"/>
          <w:szCs w:val="32"/>
          <w:highlight w:val="none"/>
        </w:rPr>
        <w:t xml:space="preserve">   </w:t>
      </w:r>
      <w:bookmarkStart w:id="0" w:name="_Toc129880039"/>
      <w:bookmarkStart w:id="1" w:name="_Toc512937852"/>
      <w:r>
        <w:rPr>
          <w:rFonts w:hint="eastAsia" w:ascii="宋体" w:hAnsi="宋体"/>
          <w:b/>
          <w:color w:val="auto"/>
          <w:sz w:val="30"/>
          <w:szCs w:val="30"/>
          <w:highlight w:val="none"/>
        </w:rPr>
        <w:t>第八部分 采购需求</w:t>
      </w:r>
      <w:bookmarkEnd w:id="0"/>
    </w:p>
    <w:bookmarkEnd w:id="1"/>
    <w:p w14:paraId="7F3F2E48">
      <w:pPr>
        <w:adjustRightInd w:val="0"/>
        <w:snapToGrid w:val="0"/>
        <w:spacing w:before="156" w:beforeLines="50" w:after="156" w:afterLines="50" w:line="360" w:lineRule="auto"/>
        <w:jc w:val="center"/>
        <w:rPr>
          <w:rFonts w:hint="eastAsia" w:ascii="宋体" w:hAnsi="宋体"/>
          <w:b/>
          <w:color w:val="auto"/>
          <w:sz w:val="24"/>
          <w:highlight w:val="none"/>
        </w:rPr>
      </w:pPr>
      <w:r>
        <w:rPr>
          <w:rFonts w:hint="eastAsia" w:ascii="宋体" w:hAnsi="宋体"/>
          <w:b/>
          <w:color w:val="auto"/>
          <w:sz w:val="24"/>
          <w:highlight w:val="none"/>
        </w:rPr>
        <w:t>货物需求一览表</w:t>
      </w:r>
    </w:p>
    <w:p w14:paraId="5968DE2E">
      <w:pPr>
        <w:adjustRightInd w:val="0"/>
        <w:snapToGrid w:val="0"/>
        <w:jc w:val="center"/>
        <w:rPr>
          <w:rFonts w:hint="eastAsia" w:ascii="宋体" w:hAnsi="宋体"/>
          <w:b/>
          <w:color w:val="auto"/>
          <w:sz w:val="30"/>
          <w:szCs w:val="30"/>
          <w:highlight w:val="none"/>
        </w:rPr>
      </w:pPr>
    </w:p>
    <w:tbl>
      <w:tblPr>
        <w:tblStyle w:val="38"/>
        <w:tblW w:w="51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40"/>
        <w:gridCol w:w="2357"/>
        <w:gridCol w:w="1329"/>
      </w:tblGrid>
      <w:tr w14:paraId="053B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1440" w:type="dxa"/>
            <w:noWrap w:val="0"/>
            <w:vAlign w:val="center"/>
          </w:tcPr>
          <w:p w14:paraId="4F02BC81">
            <w:pPr>
              <w:jc w:val="center"/>
              <w:rPr>
                <w:rFonts w:ascii="宋体" w:hAnsi="Bookman Old Style"/>
                <w:color w:val="auto"/>
                <w:sz w:val="24"/>
                <w:highlight w:val="none"/>
              </w:rPr>
            </w:pPr>
            <w:r>
              <w:rPr>
                <w:rFonts w:hint="eastAsia" w:ascii="宋体" w:hAnsi="Bookman Old Style"/>
                <w:color w:val="auto"/>
                <w:sz w:val="24"/>
                <w:highlight w:val="none"/>
              </w:rPr>
              <w:t>包号</w:t>
            </w:r>
          </w:p>
        </w:tc>
        <w:tc>
          <w:tcPr>
            <w:tcW w:w="2357" w:type="dxa"/>
            <w:noWrap w:val="0"/>
            <w:vAlign w:val="center"/>
          </w:tcPr>
          <w:p w14:paraId="18D1446E">
            <w:pPr>
              <w:jc w:val="center"/>
              <w:rPr>
                <w:rFonts w:ascii="宋体" w:hAnsi="Bookman Old Style"/>
                <w:color w:val="auto"/>
                <w:sz w:val="24"/>
                <w:highlight w:val="none"/>
              </w:rPr>
            </w:pPr>
            <w:r>
              <w:rPr>
                <w:rFonts w:hint="eastAsia" w:ascii="宋体" w:hAnsi="Bookman Old Style"/>
                <w:color w:val="auto"/>
                <w:sz w:val="24"/>
                <w:highlight w:val="none"/>
              </w:rPr>
              <w:t>货物名称</w:t>
            </w:r>
          </w:p>
        </w:tc>
        <w:tc>
          <w:tcPr>
            <w:tcW w:w="1329" w:type="dxa"/>
            <w:noWrap w:val="0"/>
            <w:vAlign w:val="center"/>
          </w:tcPr>
          <w:p w14:paraId="61451FF5">
            <w:pPr>
              <w:jc w:val="center"/>
              <w:rPr>
                <w:rFonts w:ascii="宋体" w:hAnsi="Bookman Old Style"/>
                <w:color w:val="auto"/>
                <w:sz w:val="24"/>
                <w:highlight w:val="none"/>
              </w:rPr>
            </w:pPr>
            <w:r>
              <w:rPr>
                <w:rFonts w:hint="eastAsia" w:ascii="宋体" w:hAnsi="Bookman Old Style"/>
                <w:color w:val="auto"/>
                <w:sz w:val="24"/>
                <w:highlight w:val="none"/>
              </w:rPr>
              <w:t>数量</w:t>
            </w:r>
          </w:p>
        </w:tc>
      </w:tr>
      <w:tr w14:paraId="2A794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1440" w:type="dxa"/>
            <w:noWrap w:val="0"/>
            <w:vAlign w:val="center"/>
          </w:tcPr>
          <w:p w14:paraId="277009B5">
            <w:pPr>
              <w:jc w:val="center"/>
              <w:rPr>
                <w:rFonts w:hint="eastAsia" w:ascii="宋体" w:eastAsia="宋体"/>
                <w:color w:val="auto"/>
                <w:sz w:val="24"/>
                <w:highlight w:val="none"/>
                <w:lang w:eastAsia="zh-CN"/>
              </w:rPr>
            </w:pPr>
            <w:r>
              <w:rPr>
                <w:rFonts w:hint="eastAsia" w:ascii="宋体"/>
                <w:color w:val="auto"/>
                <w:sz w:val="24"/>
                <w:highlight w:val="none"/>
                <w:lang w:val="en-US" w:eastAsia="zh-CN"/>
              </w:rPr>
              <w:t>1</w:t>
            </w:r>
          </w:p>
        </w:tc>
        <w:tc>
          <w:tcPr>
            <w:tcW w:w="2357" w:type="dxa"/>
            <w:noWrap w:val="0"/>
            <w:vAlign w:val="center"/>
          </w:tcPr>
          <w:p w14:paraId="4C50E639">
            <w:pPr>
              <w:jc w:val="center"/>
              <w:rPr>
                <w:rFonts w:hint="default" w:ascii="Bookman Old Style" w:hAnsi="Bookman Old Style" w:eastAsia="宋体"/>
                <w:color w:val="auto"/>
                <w:sz w:val="24"/>
                <w:highlight w:val="none"/>
                <w:lang w:val="en-US" w:eastAsia="zh-CN"/>
              </w:rPr>
            </w:pPr>
            <w:r>
              <w:rPr>
                <w:rFonts w:hint="eastAsia" w:ascii="Bookman Old Style" w:hAnsi="Bookman Old Style"/>
                <w:color w:val="auto"/>
                <w:sz w:val="24"/>
                <w:highlight w:val="none"/>
                <w:lang w:val="en-US" w:eastAsia="zh-CN"/>
              </w:rPr>
              <w:t>晶圆光刻机</w:t>
            </w:r>
          </w:p>
        </w:tc>
        <w:tc>
          <w:tcPr>
            <w:tcW w:w="1329" w:type="dxa"/>
            <w:noWrap w:val="0"/>
            <w:vAlign w:val="center"/>
          </w:tcPr>
          <w:p w14:paraId="4B38A771">
            <w:pPr>
              <w:jc w:val="center"/>
              <w:rPr>
                <w:rFonts w:hint="default" w:ascii="宋体" w:hAnsi="Bookman Old Style" w:eastAsia="宋体"/>
                <w:color w:val="auto"/>
                <w:sz w:val="24"/>
                <w:highlight w:val="none"/>
                <w:lang w:val="en-US" w:eastAsia="zh-CN"/>
              </w:rPr>
            </w:pPr>
            <w:r>
              <w:rPr>
                <w:rFonts w:hint="eastAsia" w:ascii="宋体" w:hAnsi="Bookman Old Style"/>
                <w:color w:val="auto"/>
                <w:sz w:val="24"/>
                <w:highlight w:val="none"/>
                <w:lang w:val="en-US" w:eastAsia="zh-CN"/>
              </w:rPr>
              <w:t>1台</w:t>
            </w:r>
          </w:p>
        </w:tc>
      </w:tr>
    </w:tbl>
    <w:p w14:paraId="32985C5B">
      <w:pPr>
        <w:adjustRightInd w:val="0"/>
        <w:snapToGrid w:val="0"/>
        <w:jc w:val="center"/>
        <w:rPr>
          <w:rFonts w:hint="eastAsia" w:ascii="宋体" w:hAnsi="宋体"/>
          <w:b/>
          <w:color w:val="auto"/>
          <w:sz w:val="30"/>
          <w:szCs w:val="30"/>
          <w:highlight w:val="none"/>
        </w:rPr>
      </w:pPr>
    </w:p>
    <w:p w14:paraId="681A5BFE">
      <w:pPr>
        <w:adjustRightInd w:val="0"/>
        <w:snapToGrid w:val="0"/>
        <w:jc w:val="center"/>
        <w:rPr>
          <w:rFonts w:hint="eastAsia" w:ascii="宋体" w:hAnsi="宋体"/>
          <w:b/>
          <w:color w:val="auto"/>
          <w:sz w:val="30"/>
          <w:szCs w:val="30"/>
          <w:highlight w:val="none"/>
        </w:rPr>
      </w:pPr>
    </w:p>
    <w:p w14:paraId="3A8A43D3">
      <w:pPr>
        <w:rPr>
          <w:rFonts w:hint="eastAsia" w:ascii="Bookman Old Style" w:hAnsi="Bookman Old Style"/>
          <w:color w:val="auto"/>
          <w:sz w:val="24"/>
          <w:highlight w:val="none"/>
        </w:rPr>
      </w:pPr>
      <w:r>
        <w:rPr>
          <w:rFonts w:hint="eastAsia"/>
          <w:color w:val="auto"/>
          <w:sz w:val="24"/>
          <w:highlight w:val="none"/>
        </w:rPr>
        <w:t>注：投标人须对上述投标内容中完整的一包或几包进行投标，</w:t>
      </w:r>
      <w:r>
        <w:rPr>
          <w:rFonts w:hint="eastAsia" w:ascii="Bookman Old Style" w:hAnsi="Bookman Old Style"/>
          <w:color w:val="auto"/>
          <w:sz w:val="24"/>
          <w:highlight w:val="none"/>
        </w:rPr>
        <w:t>不完整的投标将视为非响应性投标予以拒绝。</w:t>
      </w:r>
    </w:p>
    <w:p w14:paraId="0057F437">
      <w:pPr>
        <w:adjustRightInd w:val="0"/>
        <w:snapToGrid w:val="0"/>
        <w:rPr>
          <w:rFonts w:hint="eastAsia" w:ascii="宋体" w:hAnsi="宋体"/>
          <w:color w:val="auto"/>
          <w:szCs w:val="21"/>
          <w:highlight w:val="none"/>
        </w:rPr>
      </w:pPr>
    </w:p>
    <w:p w14:paraId="6613E7DF">
      <w:pPr>
        <w:adjustRightInd w:val="0"/>
        <w:snapToGrid w:val="0"/>
        <w:rPr>
          <w:rFonts w:hint="eastAsia" w:ascii="宋体" w:hAnsi="宋体"/>
          <w:color w:val="auto"/>
          <w:szCs w:val="21"/>
          <w:highlight w:val="none"/>
        </w:rPr>
      </w:pPr>
    </w:p>
    <w:p w14:paraId="2AA9ADB7">
      <w:pPr>
        <w:adjustRightInd w:val="0"/>
        <w:snapToGrid w:val="0"/>
        <w:rPr>
          <w:rFonts w:hint="eastAsia" w:ascii="宋体" w:hAnsi="宋体"/>
          <w:color w:val="auto"/>
          <w:szCs w:val="21"/>
          <w:highlight w:val="none"/>
        </w:rPr>
      </w:pPr>
    </w:p>
    <w:p w14:paraId="774A0964">
      <w:pPr>
        <w:adjustRightInd w:val="0"/>
        <w:snapToGrid w:val="0"/>
        <w:spacing w:line="360" w:lineRule="auto"/>
        <w:rPr>
          <w:rFonts w:ascii="宋体" w:hAnsi="宋体"/>
          <w:b/>
          <w:color w:val="auto"/>
          <w:sz w:val="28"/>
          <w:szCs w:val="28"/>
          <w:highlight w:val="none"/>
        </w:rPr>
      </w:pPr>
      <w:r>
        <w:rPr>
          <w:rFonts w:ascii="宋体" w:hAnsi="宋体"/>
          <w:b/>
          <w:color w:val="auto"/>
          <w:sz w:val="30"/>
          <w:szCs w:val="30"/>
          <w:highlight w:val="none"/>
        </w:rPr>
        <w:br w:type="page"/>
      </w:r>
      <w:r>
        <w:rPr>
          <w:rFonts w:hint="eastAsia" w:ascii="宋体" w:hAnsi="宋体"/>
          <w:b/>
          <w:color w:val="auto"/>
          <w:sz w:val="28"/>
          <w:szCs w:val="28"/>
          <w:highlight w:val="none"/>
        </w:rPr>
        <w:t>一、总则</w:t>
      </w:r>
    </w:p>
    <w:p w14:paraId="7F48F626">
      <w:pPr>
        <w:adjustRightInd w:val="0"/>
        <w:snapToGrid w:val="0"/>
        <w:spacing w:line="360" w:lineRule="auto"/>
        <w:rPr>
          <w:rFonts w:ascii="宋体" w:hAnsi="宋体"/>
          <w:b/>
          <w:color w:val="auto"/>
          <w:sz w:val="28"/>
          <w:szCs w:val="28"/>
          <w:highlight w:val="none"/>
        </w:rPr>
      </w:pPr>
      <w:r>
        <w:rPr>
          <w:rFonts w:ascii="宋体" w:hAnsi="宋体"/>
          <w:b/>
          <w:color w:val="auto"/>
          <w:sz w:val="28"/>
          <w:szCs w:val="28"/>
          <w:highlight w:val="none"/>
        </w:rPr>
        <w:t>1</w:t>
      </w:r>
      <w:r>
        <w:rPr>
          <w:rFonts w:hint="eastAsia" w:ascii="宋体" w:hAnsi="宋体"/>
          <w:b/>
          <w:color w:val="auto"/>
          <w:sz w:val="28"/>
          <w:szCs w:val="28"/>
          <w:highlight w:val="none"/>
        </w:rPr>
        <w:t>、投标要求</w:t>
      </w:r>
    </w:p>
    <w:p w14:paraId="7631D7C0">
      <w:pPr>
        <w:spacing w:line="360" w:lineRule="auto"/>
        <w:ind w:left="554" w:hanging="554" w:hangingChars="231"/>
        <w:rPr>
          <w:rFonts w:hint="eastAsia" w:ascii="宋体" w:hAns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 xml:space="preserve"> 投标人在准备投标书时，务必在所提供的商品的技术规格文件中，标明型号、商标名称、目录号。</w:t>
      </w:r>
    </w:p>
    <w:p w14:paraId="0FF7F94A">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1.2  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26881F42">
      <w:pPr>
        <w:spacing w:line="360" w:lineRule="auto"/>
        <w:ind w:left="554" w:hanging="554" w:hangingChars="231"/>
        <w:rPr>
          <w:rFonts w:hint="eastAsia" w:ascii="宋体"/>
          <w:color w:val="auto"/>
          <w:sz w:val="24"/>
          <w:highlight w:val="none"/>
        </w:rPr>
      </w:pPr>
      <w:r>
        <w:rPr>
          <w:rFonts w:hint="eastAsia" w:ascii="宋体" w:hAnsi="宋体"/>
          <w:color w:val="auto"/>
          <w:sz w:val="24"/>
          <w:highlight w:val="none"/>
        </w:rPr>
        <w:t xml:space="preserve">1.3  </w:t>
      </w:r>
      <w:r>
        <w:rPr>
          <w:rFonts w:hint="eastAsia"/>
          <w:color w:val="auto"/>
          <w:sz w:val="24"/>
          <w:highlight w:val="none"/>
        </w:rPr>
        <w:t>投标人提供的</w:t>
      </w:r>
      <w:r>
        <w:rPr>
          <w:rFonts w:hint="eastAsia" w:ascii="宋体"/>
          <w:color w:val="auto"/>
          <w:sz w:val="24"/>
          <w:highlight w:val="none"/>
        </w:rPr>
        <w:t>产品</w:t>
      </w:r>
      <w:r>
        <w:rPr>
          <w:rFonts w:hint="eastAsia"/>
          <w:color w:val="auto"/>
          <w:sz w:val="24"/>
          <w:highlight w:val="none"/>
        </w:rPr>
        <w:t>样本，必须是“原件”而非复印件，</w:t>
      </w:r>
      <w:r>
        <w:rPr>
          <w:rFonts w:hint="eastAsia" w:ascii="宋体"/>
          <w:color w:val="auto"/>
          <w:sz w:val="24"/>
          <w:highlight w:val="none"/>
        </w:rPr>
        <w:t>图表、简图、电路图以及印刷电路板图等都应</w:t>
      </w:r>
      <w:r>
        <w:rPr>
          <w:rFonts w:hint="eastAsia"/>
          <w:color w:val="auto"/>
          <w:sz w:val="24"/>
          <w:highlight w:val="none"/>
        </w:rPr>
        <w:t>清晰易读。</w:t>
      </w:r>
    </w:p>
    <w:p w14:paraId="0717CEE1">
      <w:pPr>
        <w:spacing w:line="360" w:lineRule="auto"/>
        <w:ind w:left="554" w:hanging="554" w:hangingChars="231"/>
        <w:rPr>
          <w:rFonts w:hint="eastAsia" w:ascii="宋体"/>
          <w:color w:val="auto"/>
          <w:sz w:val="24"/>
          <w:highlight w:val="none"/>
        </w:rPr>
      </w:pPr>
      <w:r>
        <w:rPr>
          <w:rFonts w:hint="eastAsia" w:ascii="宋体"/>
          <w:color w:val="auto"/>
          <w:sz w:val="24"/>
          <w:highlight w:val="none"/>
        </w:rPr>
        <w:t>1.4  投标人的投标产品应符合国家有关部门规定的相应技术、计量、节能、安全和环保法规及标准；如国家有关部门对投标人的投标产品有强制性规定或要求的，则投标人的投标产品必须符合相应规定或要求，投标人须提供相关证明文件的复印件。</w:t>
      </w:r>
    </w:p>
    <w:p w14:paraId="073E4DC8">
      <w:pPr>
        <w:adjustRightInd w:val="0"/>
        <w:snapToGrid w:val="0"/>
        <w:spacing w:line="360" w:lineRule="auto"/>
        <w:rPr>
          <w:rFonts w:ascii="宋体" w:hAnsi="宋体"/>
          <w:b/>
          <w:color w:val="auto"/>
          <w:sz w:val="28"/>
          <w:szCs w:val="28"/>
          <w:highlight w:val="none"/>
        </w:rPr>
      </w:pPr>
      <w:r>
        <w:rPr>
          <w:rFonts w:hint="eastAsia" w:ascii="宋体" w:hAnsi="宋体"/>
          <w:b/>
          <w:color w:val="auto"/>
          <w:sz w:val="28"/>
          <w:szCs w:val="28"/>
          <w:highlight w:val="none"/>
        </w:rPr>
        <w:t>2、评标标准</w:t>
      </w:r>
    </w:p>
    <w:p w14:paraId="31DA1DE8">
      <w:pPr>
        <w:spacing w:line="360" w:lineRule="auto"/>
        <w:ind w:left="554" w:hanging="554" w:hangingChars="231"/>
        <w:rPr>
          <w:rFonts w:hint="eastAsia"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 xml:space="preserve">1  </w:t>
      </w:r>
      <w:r>
        <w:rPr>
          <w:rFonts w:hint="eastAsia"/>
          <w:color w:val="auto"/>
          <w:sz w:val="24"/>
          <w:highlight w:val="none"/>
        </w:rPr>
        <w:t>除招标文件中指定的附件和专用工具外，</w:t>
      </w:r>
      <w:r>
        <w:rPr>
          <w:rFonts w:hint="eastAsia" w:ascii="宋体"/>
          <w:color w:val="auto"/>
          <w:sz w:val="24"/>
          <w:highlight w:val="none"/>
        </w:rPr>
        <w:t>投标人应提供仪器设备的正常运行和常规保养所需的全套标准附件、专用工具</w:t>
      </w:r>
      <w:r>
        <w:rPr>
          <w:rFonts w:hint="eastAsia"/>
          <w:color w:val="auto"/>
          <w:sz w:val="24"/>
          <w:highlight w:val="none"/>
        </w:rPr>
        <w:t>和消耗品</w:t>
      </w:r>
      <w:r>
        <w:rPr>
          <w:rFonts w:hint="eastAsia" w:ascii="宋体"/>
          <w:color w:val="auto"/>
          <w:sz w:val="24"/>
          <w:highlight w:val="none"/>
        </w:rPr>
        <w:t>。投标人在投标书中需列出这些附件和工具的数量和单价的清单，这些附件和工具的报价的总值需计入投标价中。</w:t>
      </w:r>
    </w:p>
    <w:p w14:paraId="28321861">
      <w:pPr>
        <w:spacing w:line="360" w:lineRule="auto"/>
        <w:ind w:left="554" w:hanging="554" w:hangingChars="231"/>
        <w:rPr>
          <w:rFonts w:hint="eastAsia"/>
          <w:color w:val="auto"/>
          <w:sz w:val="24"/>
          <w:highlight w:val="none"/>
        </w:rPr>
      </w:pPr>
      <w:r>
        <w:rPr>
          <w:rFonts w:hint="eastAsia" w:ascii="宋体" w:hAnsi="宋体"/>
          <w:color w:val="auto"/>
          <w:sz w:val="24"/>
          <w:highlight w:val="none"/>
        </w:rPr>
        <w:t xml:space="preserve">2.2  </w:t>
      </w:r>
      <w:r>
        <w:rPr>
          <w:rFonts w:hint="eastAsia"/>
          <w:color w:val="auto"/>
          <w:sz w:val="24"/>
          <w:highlight w:val="none"/>
        </w:rPr>
        <w:t>对于标书</w:t>
      </w:r>
      <w:r>
        <w:rPr>
          <w:rFonts w:hint="eastAsia" w:ascii="宋体"/>
          <w:color w:val="auto"/>
          <w:sz w:val="24"/>
          <w:highlight w:val="none"/>
        </w:rPr>
        <w:t>技术规范中已列</w:t>
      </w:r>
      <w:r>
        <w:rPr>
          <w:rFonts w:hint="eastAsia"/>
          <w:color w:val="auto"/>
          <w:sz w:val="24"/>
          <w:highlight w:val="none"/>
        </w:rPr>
        <w:t>出的作为查询选件的附件、零配件、专用工具和消耗品，投标书中</w:t>
      </w:r>
      <w:r>
        <w:rPr>
          <w:rFonts w:hint="eastAsia" w:ascii="宋体"/>
          <w:color w:val="auto"/>
          <w:sz w:val="24"/>
          <w:highlight w:val="none"/>
        </w:rPr>
        <w:t>应列明其数量、单价、总价供买方参考。投标人也可推荐买方没有要求的附件或专用工具作为选件，并列明其数量、单价、总价供买方参考。选件价格不计入评标价中。</w:t>
      </w:r>
    </w:p>
    <w:p w14:paraId="1BED5729">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2.3  为便于用户进行接收仪器的准备工作，卖方应在合同生效后</w:t>
      </w:r>
      <w:r>
        <w:rPr>
          <w:rFonts w:hint="eastAsia" w:ascii="宋体" w:hAnsi="宋体"/>
          <w:b/>
          <w:color w:val="auto"/>
          <w:sz w:val="24"/>
          <w:highlight w:val="none"/>
        </w:rPr>
        <w:t>60</w:t>
      </w:r>
      <w:r>
        <w:rPr>
          <w:rFonts w:hint="eastAsia" w:ascii="宋体" w:hAnsi="宋体"/>
          <w:color w:val="auto"/>
          <w:sz w:val="24"/>
          <w:highlight w:val="none"/>
        </w:rPr>
        <w:t>天内向用户提供一套完整的使用说明书、操作手册、维修及安装说明等文件。另一套完整上述资料应在交货时随货包装提供给用户，这些费用应计入投标价中。</w:t>
      </w:r>
    </w:p>
    <w:p w14:paraId="38111E72">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 xml:space="preserve"> 关于设备的安装调试，如果有必要的安装准备条件，卖方应在合同生效后一个月内向买方提出详细的要求或计划。安装调试的费用应计入投标价中，并应单独列出，供评标使用。</w:t>
      </w:r>
    </w:p>
    <w:p w14:paraId="3E8BBF64">
      <w:pPr>
        <w:spacing w:line="360" w:lineRule="auto"/>
        <w:ind w:left="554" w:hanging="554" w:hangingChars="231"/>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5  制造厂家提供的培训指的是涉及货物的基本原理、操作使用和保养维修等有关内容的培训。培训教员的培训费、旅费、食宿费等费用和培训场地费及培训资料费均应由卖方支付。</w:t>
      </w:r>
    </w:p>
    <w:p w14:paraId="06F92609">
      <w:pPr>
        <w:adjustRightInd w:val="0"/>
        <w:snapToGrid w:val="0"/>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3、工作条件</w:t>
      </w:r>
    </w:p>
    <w:p w14:paraId="495E2778">
      <w:pPr>
        <w:spacing w:after="312" w:afterLines="100" w:line="360" w:lineRule="auto"/>
        <w:rPr>
          <w:rFonts w:hint="eastAsia" w:ascii="宋体" w:hAnsi="宋体"/>
          <w:color w:val="auto"/>
          <w:sz w:val="24"/>
          <w:highlight w:val="none"/>
        </w:rPr>
      </w:pPr>
      <w:r>
        <w:rPr>
          <w:rFonts w:hint="eastAsia" w:ascii="宋体" w:hAnsi="宋体"/>
          <w:color w:val="auto"/>
          <w:sz w:val="24"/>
          <w:highlight w:val="none"/>
        </w:rPr>
        <w:t>除非在技术规格中另有说明，所有仪器、设备和系统都应符合下列要求：</w:t>
      </w:r>
      <w:r>
        <w:rPr>
          <w:rFonts w:ascii="宋体" w:hAnsi="宋体"/>
          <w:color w:val="auto"/>
          <w:sz w:val="24"/>
          <w:highlight w:val="none"/>
        </w:rPr>
        <w:t xml:space="preserve"> </w:t>
      </w:r>
    </w:p>
    <w:p w14:paraId="1606ABCD">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3.1  适于在气温为摄氏</w:t>
      </w:r>
      <w:r>
        <w:rPr>
          <w:rFonts w:ascii="宋体" w:hAnsi="宋体"/>
          <w:b/>
          <w:color w:val="auto"/>
          <w:sz w:val="24"/>
          <w:highlight w:val="none"/>
        </w:rPr>
        <w:t>-40</w:t>
      </w:r>
      <w:r>
        <w:rPr>
          <w:rFonts w:hint="eastAsia" w:ascii="宋体" w:hAnsi="宋体"/>
          <w:b/>
          <w:color w:val="auto"/>
          <w:sz w:val="24"/>
          <w:highlight w:val="none"/>
        </w:rPr>
        <w:t>℃～＋</w:t>
      </w:r>
      <w:r>
        <w:rPr>
          <w:rFonts w:ascii="宋体" w:hAnsi="宋体"/>
          <w:b/>
          <w:color w:val="auto"/>
          <w:sz w:val="24"/>
          <w:highlight w:val="none"/>
        </w:rPr>
        <w:t>50</w:t>
      </w:r>
      <w:r>
        <w:rPr>
          <w:rFonts w:hint="eastAsia" w:ascii="宋体" w:hAnsi="宋体"/>
          <w:b/>
          <w:color w:val="auto"/>
          <w:sz w:val="24"/>
          <w:highlight w:val="none"/>
        </w:rPr>
        <w:t>℃</w:t>
      </w:r>
      <w:r>
        <w:rPr>
          <w:rFonts w:hint="eastAsia" w:ascii="宋体" w:hAnsi="宋体"/>
          <w:color w:val="auto"/>
          <w:sz w:val="24"/>
          <w:highlight w:val="none"/>
        </w:rPr>
        <w:t>和相对湿度为</w:t>
      </w:r>
      <w:r>
        <w:rPr>
          <w:rFonts w:ascii="宋体" w:hAnsi="宋体"/>
          <w:b/>
          <w:color w:val="auto"/>
          <w:sz w:val="24"/>
          <w:highlight w:val="none"/>
        </w:rPr>
        <w:t>90</w:t>
      </w:r>
      <w:r>
        <w:rPr>
          <w:rFonts w:hint="eastAsia" w:ascii="宋体" w:hAnsi="宋体"/>
          <w:b/>
          <w:color w:val="auto"/>
          <w:sz w:val="24"/>
          <w:highlight w:val="none"/>
        </w:rPr>
        <w:t>％</w:t>
      </w:r>
      <w:r>
        <w:rPr>
          <w:rFonts w:hint="eastAsia" w:ascii="宋体" w:hAnsi="宋体"/>
          <w:color w:val="auto"/>
          <w:sz w:val="24"/>
          <w:highlight w:val="none"/>
        </w:rPr>
        <w:t>的环境条件下运输和贮存。</w:t>
      </w:r>
    </w:p>
    <w:p w14:paraId="6C7F1627">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3.2  适于在电源</w:t>
      </w:r>
      <w:r>
        <w:rPr>
          <w:rFonts w:ascii="宋体" w:hAnsi="宋体"/>
          <w:b/>
          <w:color w:val="auto"/>
          <w:sz w:val="24"/>
          <w:highlight w:val="none"/>
        </w:rPr>
        <w:t>220V</w:t>
      </w:r>
      <w:r>
        <w:rPr>
          <w:rFonts w:hint="eastAsia" w:ascii="宋体" w:hAnsi="宋体"/>
          <w:b/>
          <w:color w:val="auto"/>
          <w:sz w:val="24"/>
          <w:highlight w:val="none"/>
        </w:rPr>
        <w:t>（</w:t>
      </w:r>
      <w:r>
        <w:rPr>
          <w:rFonts w:ascii="宋体" w:hAnsi="宋体"/>
          <w:b/>
          <w:color w:val="auto"/>
          <w:sz w:val="24"/>
          <w:highlight w:val="none"/>
        </w:rPr>
        <w:sym w:font="Symbol" w:char="F0B1"/>
      </w:r>
      <w:r>
        <w:rPr>
          <w:rFonts w:ascii="宋体" w:hAnsi="宋体"/>
          <w:b/>
          <w:color w:val="auto"/>
          <w:sz w:val="24"/>
          <w:highlight w:val="none"/>
        </w:rPr>
        <w:t>10</w:t>
      </w:r>
      <w:r>
        <w:rPr>
          <w:rFonts w:hint="eastAsia" w:ascii="宋体" w:hAnsi="宋体"/>
          <w:b/>
          <w:color w:val="auto"/>
          <w:sz w:val="24"/>
          <w:highlight w:val="none"/>
        </w:rPr>
        <w:t>％）</w:t>
      </w:r>
      <w:r>
        <w:rPr>
          <w:rFonts w:ascii="宋体" w:hAnsi="宋体"/>
          <w:b/>
          <w:color w:val="auto"/>
          <w:sz w:val="24"/>
          <w:highlight w:val="none"/>
        </w:rPr>
        <w:t>/50Hz</w:t>
      </w:r>
      <w:r>
        <w:rPr>
          <w:rFonts w:hint="eastAsia" w:ascii="宋体" w:hAnsi="宋体"/>
          <w:color w:val="auto"/>
          <w:sz w:val="24"/>
          <w:highlight w:val="none"/>
        </w:rPr>
        <w:t>、气温摄氏</w:t>
      </w:r>
      <w:r>
        <w:rPr>
          <w:rFonts w:hint="eastAsia" w:ascii="宋体" w:hAnsi="宋体"/>
          <w:b/>
          <w:color w:val="auto"/>
          <w:sz w:val="24"/>
          <w:highlight w:val="none"/>
        </w:rPr>
        <w:t>+1</w:t>
      </w:r>
      <w:r>
        <w:rPr>
          <w:rFonts w:ascii="宋体" w:hAnsi="宋体"/>
          <w:b/>
          <w:color w:val="auto"/>
          <w:sz w:val="24"/>
          <w:highlight w:val="none"/>
        </w:rPr>
        <w:t>5</w:t>
      </w:r>
      <w:r>
        <w:rPr>
          <w:rFonts w:hint="eastAsia" w:ascii="宋体" w:hAnsi="宋体"/>
          <w:b/>
          <w:color w:val="auto"/>
          <w:sz w:val="24"/>
          <w:highlight w:val="none"/>
        </w:rPr>
        <w:t>℃～＋3</w:t>
      </w:r>
      <w:r>
        <w:rPr>
          <w:rFonts w:ascii="宋体" w:hAnsi="宋体"/>
          <w:b/>
          <w:color w:val="auto"/>
          <w:sz w:val="24"/>
          <w:highlight w:val="none"/>
        </w:rPr>
        <w:t>0</w:t>
      </w:r>
      <w:r>
        <w:rPr>
          <w:rFonts w:hint="eastAsia" w:ascii="宋体" w:hAnsi="宋体"/>
          <w:b/>
          <w:color w:val="auto"/>
          <w:sz w:val="24"/>
          <w:highlight w:val="none"/>
        </w:rPr>
        <w:t>℃</w:t>
      </w:r>
      <w:r>
        <w:rPr>
          <w:rFonts w:hint="eastAsia" w:ascii="宋体" w:hAnsi="宋体"/>
          <w:color w:val="auto"/>
          <w:sz w:val="24"/>
          <w:highlight w:val="none"/>
        </w:rPr>
        <w:t>和相对湿度小于</w:t>
      </w:r>
      <w:r>
        <w:rPr>
          <w:rFonts w:ascii="宋体" w:hAnsi="宋体"/>
          <w:b/>
          <w:color w:val="auto"/>
          <w:sz w:val="24"/>
          <w:highlight w:val="none"/>
        </w:rPr>
        <w:t>8</w:t>
      </w:r>
      <w:r>
        <w:rPr>
          <w:rFonts w:hint="eastAsia" w:ascii="宋体" w:hAnsi="宋体"/>
          <w:b/>
          <w:color w:val="auto"/>
          <w:sz w:val="24"/>
          <w:highlight w:val="none"/>
        </w:rPr>
        <w:t>0％</w:t>
      </w:r>
      <w:r>
        <w:rPr>
          <w:rFonts w:hint="eastAsia" w:ascii="宋体" w:hAnsi="宋体"/>
          <w:color w:val="auto"/>
          <w:sz w:val="24"/>
          <w:highlight w:val="none"/>
        </w:rPr>
        <w:t>的环境条件下运行。</w:t>
      </w:r>
      <w:r>
        <w:rPr>
          <w:rFonts w:hint="eastAsia" w:ascii="宋体" w:hAnsi="宋体"/>
          <w:b/>
          <w:color w:val="auto"/>
          <w:sz w:val="24"/>
          <w:highlight w:val="none"/>
        </w:rPr>
        <w:t>能够连续正常工作。</w:t>
      </w:r>
    </w:p>
    <w:p w14:paraId="620D72FB">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3.3  配置符合中国有关标准要求的插头，如果没有这样的插头，则需</w:t>
      </w:r>
      <w:r>
        <w:rPr>
          <w:rFonts w:hint="eastAsia" w:ascii="宋体"/>
          <w:color w:val="auto"/>
          <w:sz w:val="24"/>
          <w:highlight w:val="none"/>
        </w:rPr>
        <w:t>提供适当的转</w:t>
      </w:r>
      <w:r>
        <w:rPr>
          <w:rFonts w:hint="eastAsia" w:ascii="宋体" w:hAnsi="宋体"/>
          <w:color w:val="auto"/>
          <w:sz w:val="24"/>
          <w:highlight w:val="none"/>
        </w:rPr>
        <w:t>换插座。</w:t>
      </w:r>
    </w:p>
    <w:p w14:paraId="1327EC34">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3.4  如产品达不到上述要求，投标人应注明其偏差。如仪器设备需要特殊工作条件（如水、电源、磁场强度、温度、湿度、动强度等）投标人应在投标书中加以说明。</w:t>
      </w:r>
    </w:p>
    <w:p w14:paraId="0692685B">
      <w:pPr>
        <w:rPr>
          <w:rFonts w:hint="eastAsia" w:eastAsia="黑体"/>
          <w:b/>
          <w:bCs/>
          <w:color w:val="auto"/>
          <w:kern w:val="44"/>
          <w:sz w:val="24"/>
          <w:highlight w:val="none"/>
        </w:rPr>
      </w:pPr>
    </w:p>
    <w:p w14:paraId="21C9EBB8">
      <w:pPr>
        <w:adjustRightInd w:val="0"/>
        <w:snapToGrid w:val="0"/>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4、验收标准</w:t>
      </w:r>
    </w:p>
    <w:p w14:paraId="72F88279">
      <w:pPr>
        <w:spacing w:after="312" w:afterLines="100" w:line="360" w:lineRule="auto"/>
        <w:rPr>
          <w:rFonts w:hint="eastAsia" w:ascii="宋体" w:hAnsi="宋体"/>
          <w:color w:val="auto"/>
          <w:sz w:val="24"/>
          <w:highlight w:val="none"/>
        </w:rPr>
      </w:pPr>
      <w:r>
        <w:rPr>
          <w:rFonts w:hint="eastAsia" w:ascii="宋体" w:hAnsi="宋体"/>
          <w:color w:val="auto"/>
          <w:sz w:val="24"/>
          <w:highlight w:val="none"/>
        </w:rPr>
        <w:t>除非在技术规格中另有说明，所有仪器、设备和系统按下列要求进行验收：</w:t>
      </w:r>
      <w:r>
        <w:rPr>
          <w:rFonts w:ascii="宋体" w:hAnsi="宋体"/>
          <w:color w:val="auto"/>
          <w:sz w:val="24"/>
          <w:highlight w:val="none"/>
        </w:rPr>
        <w:t xml:space="preserve"> </w:t>
      </w:r>
    </w:p>
    <w:p w14:paraId="28D85655">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4.1  仪器设备运抵安装现场后，买方将与卖方共同开箱验收</w:t>
      </w:r>
      <w:r>
        <w:rPr>
          <w:rFonts w:ascii="宋体" w:hAnsi="宋体"/>
          <w:color w:val="auto"/>
          <w:sz w:val="24"/>
          <w:highlight w:val="none"/>
        </w:rPr>
        <w:t xml:space="preserve">, </w:t>
      </w:r>
      <w:r>
        <w:rPr>
          <w:rFonts w:hint="eastAsia" w:ascii="宋体" w:hAnsi="宋体"/>
          <w:color w:val="auto"/>
          <w:sz w:val="24"/>
          <w:highlight w:val="none"/>
        </w:rPr>
        <w:t>如卖方届时不派人来</w:t>
      </w:r>
      <w:r>
        <w:rPr>
          <w:rFonts w:ascii="宋体" w:hAnsi="宋体"/>
          <w:color w:val="auto"/>
          <w:sz w:val="24"/>
          <w:highlight w:val="none"/>
        </w:rPr>
        <w:t xml:space="preserve">, </w:t>
      </w:r>
      <w:r>
        <w:rPr>
          <w:rFonts w:hint="eastAsia" w:ascii="宋体" w:hAnsi="宋体"/>
          <w:color w:val="auto"/>
          <w:sz w:val="24"/>
          <w:highlight w:val="none"/>
        </w:rPr>
        <w:t>则验收结果应以买方的验收报告为最终验收结果。验收时发现短缺、破损</w:t>
      </w:r>
      <w:r>
        <w:rPr>
          <w:rFonts w:ascii="宋体" w:hAnsi="宋体"/>
          <w:color w:val="auto"/>
          <w:sz w:val="24"/>
          <w:highlight w:val="none"/>
        </w:rPr>
        <w:t xml:space="preserve">, </w:t>
      </w:r>
      <w:r>
        <w:rPr>
          <w:rFonts w:hint="eastAsia" w:ascii="宋体" w:hAnsi="宋体"/>
          <w:color w:val="auto"/>
          <w:sz w:val="24"/>
          <w:highlight w:val="none"/>
        </w:rPr>
        <w:t>买方有权要求卖方负责更换。</w:t>
      </w:r>
    </w:p>
    <w:p w14:paraId="2DFE097C">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 xml:space="preserve">4.2  </w:t>
      </w:r>
      <w:r>
        <w:rPr>
          <w:rFonts w:hint="eastAsia"/>
          <w:color w:val="auto"/>
          <w:sz w:val="24"/>
          <w:highlight w:val="none"/>
        </w:rPr>
        <w:t>验收标准以中标人提供的投标文件中所列的指标为准（该指标应不低于招标文件所要求的指标）。任何虚假指标响应一经发现即作废标，卖方必须承担由此给买方带来的一切经济损失和其它相关责任。</w:t>
      </w:r>
    </w:p>
    <w:p w14:paraId="65E1D3D7">
      <w:pPr>
        <w:spacing w:line="360" w:lineRule="auto"/>
        <w:ind w:left="554" w:hanging="554" w:hangingChars="231"/>
        <w:rPr>
          <w:rFonts w:hint="eastAsia" w:ascii="宋体" w:hAnsi="宋体"/>
          <w:color w:val="auto"/>
          <w:sz w:val="24"/>
          <w:highlight w:val="none"/>
        </w:rPr>
      </w:pPr>
      <w:r>
        <w:rPr>
          <w:rFonts w:hint="eastAsia" w:ascii="宋体" w:hAnsi="宋体"/>
          <w:color w:val="auto"/>
          <w:sz w:val="24"/>
          <w:highlight w:val="none"/>
        </w:rPr>
        <w:t xml:space="preserve">4.3  </w:t>
      </w:r>
      <w:r>
        <w:rPr>
          <w:rFonts w:ascii="宋体" w:hAnsi="宋体"/>
          <w:color w:val="auto"/>
          <w:sz w:val="24"/>
          <w:highlight w:val="none"/>
        </w:rPr>
        <w:t>验收由采购人、中标人及相关人员依国家有关标准、合同及有关附件要求进行，验收完毕由采购人及中标人在验收报告上签名。</w:t>
      </w:r>
    </w:p>
    <w:p w14:paraId="215ED324">
      <w:pPr>
        <w:pStyle w:val="20"/>
        <w:spacing w:line="360" w:lineRule="auto"/>
        <w:ind w:left="410" w:hanging="410" w:hangingChars="170"/>
        <w:rPr>
          <w:rFonts w:hint="eastAsia" w:hAnsi="宋体"/>
          <w:b/>
          <w:color w:val="auto"/>
          <w:sz w:val="24"/>
          <w:szCs w:val="24"/>
          <w:highlight w:val="none"/>
        </w:rPr>
      </w:pPr>
    </w:p>
    <w:p w14:paraId="02757E76">
      <w:pPr>
        <w:adjustRightInd w:val="0"/>
        <w:snapToGrid w:val="0"/>
        <w:spacing w:line="360" w:lineRule="auto"/>
        <w:rPr>
          <w:rFonts w:hint="eastAsia" w:hAnsi="宋体"/>
          <w:b/>
          <w:color w:val="auto"/>
          <w:sz w:val="24"/>
          <w:highlight w:val="none"/>
        </w:rPr>
      </w:pPr>
      <w:r>
        <w:rPr>
          <w:rFonts w:hint="eastAsia"/>
          <w:b/>
          <w:bCs/>
          <w:color w:val="auto"/>
          <w:sz w:val="24"/>
          <w:highlight w:val="none"/>
        </w:rPr>
        <w:t>5、本采购需求书中标注“★”号技术条款的为实质性要求，不满足其投标将视为无效投标被拒绝。</w:t>
      </w:r>
    </w:p>
    <w:p w14:paraId="742EEBED">
      <w:pPr>
        <w:adjustRightInd w:val="0"/>
        <w:snapToGrid w:val="0"/>
        <w:spacing w:line="360" w:lineRule="auto"/>
        <w:rPr>
          <w:rFonts w:hint="eastAsia" w:ascii="宋体" w:hAnsi="宋体"/>
          <w:b/>
          <w:color w:val="auto"/>
          <w:sz w:val="24"/>
          <w:highlight w:val="none"/>
        </w:rPr>
      </w:pPr>
    </w:p>
    <w:p w14:paraId="713D8A43">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rPr>
        <w:t>6、如在具体技术规格中有本总则不一致之处，以具体技术规格中的要求为准。</w:t>
      </w:r>
    </w:p>
    <w:p w14:paraId="4B92B2DB">
      <w:pPr>
        <w:adjustRightInd w:val="0"/>
        <w:snapToGrid w:val="0"/>
        <w:spacing w:line="360" w:lineRule="auto"/>
        <w:rPr>
          <w:rFonts w:hint="eastAsia" w:ascii="宋体" w:hAnsi="宋体"/>
          <w:b/>
          <w:color w:val="auto"/>
          <w:sz w:val="28"/>
          <w:szCs w:val="28"/>
          <w:highlight w:val="none"/>
        </w:rPr>
      </w:pPr>
      <w:r>
        <w:rPr>
          <w:rFonts w:ascii="宋体" w:hAnsi="宋体"/>
          <w:b/>
          <w:color w:val="auto"/>
          <w:sz w:val="28"/>
          <w:highlight w:val="none"/>
        </w:rPr>
        <w:br w:type="page"/>
      </w:r>
      <w:r>
        <w:rPr>
          <w:rFonts w:hint="eastAsia" w:ascii="宋体" w:hAnsi="宋体"/>
          <w:b/>
          <w:color w:val="auto"/>
          <w:sz w:val="28"/>
          <w:szCs w:val="28"/>
          <w:highlight w:val="none"/>
        </w:rPr>
        <w:t>二、具体技术规格</w:t>
      </w:r>
    </w:p>
    <w:p w14:paraId="4FD5A087">
      <w:pPr>
        <w:jc w:val="center"/>
        <w:rPr>
          <w:rFonts w:hint="default" w:eastAsia="宋体"/>
          <w:b/>
          <w:color w:val="auto"/>
          <w:sz w:val="24"/>
          <w:highlight w:val="none"/>
          <w:lang w:val="en-US" w:eastAsia="zh-CN"/>
        </w:rPr>
      </w:pPr>
      <w:r>
        <w:rPr>
          <w:rFonts w:hint="eastAsia"/>
          <w:b/>
          <w:color w:val="auto"/>
          <w:sz w:val="24"/>
          <w:highlight w:val="none"/>
          <w:lang w:val="en-US" w:eastAsia="zh-CN"/>
        </w:rPr>
        <w:t>晶圆光刻机</w:t>
      </w:r>
    </w:p>
    <w:p w14:paraId="5DF809E3">
      <w:pPr>
        <w:rPr>
          <w:rFonts w:hint="eastAsia"/>
          <w:b/>
          <w:color w:val="auto"/>
          <w:sz w:val="24"/>
          <w:highlight w:val="none"/>
        </w:rPr>
      </w:pPr>
    </w:p>
    <w:p w14:paraId="4BBA0A8F">
      <w:pPr>
        <w:rPr>
          <w:rFonts w:hint="eastAsia"/>
          <w:b/>
          <w:color w:val="auto"/>
          <w:sz w:val="24"/>
          <w:highlight w:val="none"/>
        </w:rPr>
      </w:pPr>
    </w:p>
    <w:p w14:paraId="6C943D6F">
      <w:pPr>
        <w:numPr>
          <w:ilvl w:val="0"/>
          <w:numId w:val="1"/>
        </w:numPr>
        <w:rPr>
          <w:rFonts w:hint="eastAsia"/>
          <w:b/>
          <w:color w:val="auto"/>
          <w:sz w:val="24"/>
          <w:highlight w:val="none"/>
        </w:rPr>
      </w:pPr>
      <w:r>
        <w:rPr>
          <w:rFonts w:hint="eastAsia"/>
          <w:b/>
          <w:color w:val="auto"/>
          <w:sz w:val="24"/>
          <w:highlight w:val="none"/>
        </w:rPr>
        <w:t>项目概述</w:t>
      </w:r>
    </w:p>
    <w:p w14:paraId="0E05CD1A">
      <w:pPr>
        <w:keepNext w:val="0"/>
        <w:keepLines w:val="0"/>
        <w:pageBreakBefore w:val="0"/>
        <w:widowControl w:val="0"/>
        <w:kinsoku/>
        <w:wordWrap/>
        <w:overflowPunct/>
        <w:topLinePunct w:val="0"/>
        <w:bidi w:val="0"/>
        <w:snapToGrid/>
        <w:spacing w:line="360" w:lineRule="auto"/>
        <w:ind w:left="85"/>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 项目名称：晶圆光刻机</w:t>
      </w:r>
    </w:p>
    <w:p w14:paraId="0F9A2901">
      <w:pPr>
        <w:keepNext w:val="0"/>
        <w:keepLines w:val="0"/>
        <w:pageBreakBefore w:val="0"/>
        <w:widowControl w:val="0"/>
        <w:kinsoku/>
        <w:wordWrap/>
        <w:overflowPunct/>
        <w:topLinePunct w:val="0"/>
        <w:bidi w:val="0"/>
        <w:snapToGrid/>
        <w:spacing w:line="360" w:lineRule="auto"/>
        <w:ind w:left="85"/>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 数量：1台</w:t>
      </w:r>
    </w:p>
    <w:p w14:paraId="2823B493">
      <w:pPr>
        <w:keepNext w:val="0"/>
        <w:keepLines w:val="0"/>
        <w:pageBreakBefore w:val="0"/>
        <w:widowControl w:val="0"/>
        <w:kinsoku/>
        <w:wordWrap/>
        <w:overflowPunct/>
        <w:topLinePunct w:val="0"/>
        <w:bidi w:val="0"/>
        <w:snapToGrid/>
        <w:spacing w:line="360" w:lineRule="auto"/>
        <w:ind w:left="85"/>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3. 交货期：</w:t>
      </w:r>
      <w:bookmarkStart w:id="2" w:name="OLE_LINK205"/>
      <w:bookmarkStart w:id="3" w:name="OLE_LINK204"/>
      <w:r>
        <w:rPr>
          <w:rFonts w:hint="eastAsia" w:ascii="宋体" w:hAnsi="宋体"/>
          <w:b w:val="0"/>
          <w:bCs w:val="0"/>
          <w:color w:val="auto"/>
          <w:sz w:val="24"/>
          <w:szCs w:val="24"/>
          <w:highlight w:val="none"/>
        </w:rPr>
        <w:t>合同签订后</w:t>
      </w:r>
      <w:r>
        <w:rPr>
          <w:rFonts w:hint="eastAsia" w:ascii="宋体" w:hAnsi="宋体"/>
          <w:b w:val="0"/>
          <w:bCs w:val="0"/>
          <w:color w:val="auto"/>
          <w:sz w:val="24"/>
          <w:szCs w:val="24"/>
          <w:highlight w:val="none"/>
          <w:lang w:val="en-US" w:eastAsia="zh-CN"/>
        </w:rPr>
        <w:t>4</w:t>
      </w:r>
      <w:r>
        <w:rPr>
          <w:rFonts w:hint="eastAsia" w:ascii="宋体" w:hAnsi="宋体"/>
          <w:b w:val="0"/>
          <w:bCs w:val="0"/>
          <w:color w:val="auto"/>
          <w:sz w:val="24"/>
          <w:szCs w:val="24"/>
          <w:highlight w:val="none"/>
        </w:rPr>
        <w:t>个月内。</w:t>
      </w:r>
      <w:bookmarkEnd w:id="2"/>
      <w:bookmarkEnd w:id="3"/>
    </w:p>
    <w:p w14:paraId="7CD3417E">
      <w:pPr>
        <w:keepNext w:val="0"/>
        <w:keepLines w:val="0"/>
        <w:pageBreakBefore w:val="0"/>
        <w:widowControl w:val="0"/>
        <w:kinsoku/>
        <w:wordWrap/>
        <w:overflowPunct/>
        <w:topLinePunct w:val="0"/>
        <w:bidi w:val="0"/>
        <w:snapToGrid/>
        <w:spacing w:line="360" w:lineRule="auto"/>
        <w:ind w:left="85"/>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4. 交货地点：上海用户项目使用现场。</w:t>
      </w:r>
    </w:p>
    <w:p w14:paraId="4F8473A9">
      <w:pPr>
        <w:keepNext w:val="0"/>
        <w:keepLines w:val="0"/>
        <w:pageBreakBefore w:val="0"/>
        <w:widowControl w:val="0"/>
        <w:kinsoku/>
        <w:wordWrap/>
        <w:overflowPunct/>
        <w:topLinePunct w:val="0"/>
        <w:bidi w:val="0"/>
        <w:snapToGrid/>
        <w:spacing w:line="360" w:lineRule="auto"/>
        <w:ind w:left="85"/>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5. 用途概述：</w:t>
      </w:r>
      <w:bookmarkStart w:id="4" w:name="_Hlk198571693"/>
      <w:r>
        <w:rPr>
          <w:rFonts w:hint="eastAsia" w:ascii="宋体" w:hAnsi="宋体"/>
          <w:b w:val="0"/>
          <w:bCs w:val="0"/>
          <w:color w:val="auto"/>
          <w:sz w:val="24"/>
          <w:szCs w:val="24"/>
          <w:highlight w:val="none"/>
        </w:rPr>
        <w:t>本设备要求能将掩模版上集成电路图形以高分辨率、高精度的方式曝光在晶圆表面的光刻胶上，以实现光刻制程中的曝光工艺，要求分辨率≤0.35</w:t>
      </w:r>
      <w:r>
        <w:rPr>
          <w:rFonts w:hint="eastAsia" w:ascii="宋体" w:hAnsi="宋体"/>
          <w:b w:val="0"/>
          <w:bCs w:val="0"/>
          <w:color w:val="auto"/>
          <w:sz w:val="24"/>
          <w:szCs w:val="24"/>
          <w:highlight w:val="none"/>
          <w:lang w:val="en-US" w:eastAsia="zh-CN"/>
        </w:rPr>
        <w:t>μ</w:t>
      </w:r>
      <w:r>
        <w:rPr>
          <w:rFonts w:hint="eastAsia" w:ascii="宋体" w:hAnsi="宋体"/>
          <w:b w:val="0"/>
          <w:bCs w:val="0"/>
          <w:color w:val="auto"/>
          <w:sz w:val="24"/>
          <w:szCs w:val="24"/>
          <w:highlight w:val="none"/>
        </w:rPr>
        <w:t>m且能稳定生产CD≤0.4</w:t>
      </w:r>
      <w:r>
        <w:rPr>
          <w:rFonts w:hint="eastAsia" w:ascii="宋体" w:hAnsi="宋体"/>
          <w:b w:val="0"/>
          <w:bCs w:val="0"/>
          <w:color w:val="auto"/>
          <w:sz w:val="24"/>
          <w:szCs w:val="24"/>
          <w:highlight w:val="none"/>
          <w:lang w:val="en-US" w:eastAsia="zh-CN"/>
        </w:rPr>
        <w:t>μ</w:t>
      </w:r>
      <w:r>
        <w:rPr>
          <w:rFonts w:hint="eastAsia" w:ascii="宋体" w:hAnsi="宋体"/>
          <w:b w:val="0"/>
          <w:bCs w:val="0"/>
          <w:color w:val="auto"/>
          <w:sz w:val="24"/>
          <w:szCs w:val="24"/>
          <w:highlight w:val="none"/>
        </w:rPr>
        <w:t>m的产品。设备可兼容 8/12寸晶圆</w:t>
      </w:r>
      <w:bookmarkEnd w:id="4"/>
      <w:r>
        <w:rPr>
          <w:rFonts w:hint="eastAsia" w:ascii="宋体" w:hAnsi="宋体"/>
          <w:b w:val="0"/>
          <w:bCs w:val="0"/>
          <w:color w:val="auto"/>
          <w:sz w:val="24"/>
          <w:szCs w:val="24"/>
          <w:highlight w:val="none"/>
        </w:rPr>
        <w:t>。</w:t>
      </w:r>
    </w:p>
    <w:p w14:paraId="3997A1B1">
      <w:pPr>
        <w:rPr>
          <w:rFonts w:hint="eastAsia"/>
          <w:b/>
          <w:color w:val="auto"/>
          <w:sz w:val="24"/>
          <w:highlight w:val="none"/>
        </w:rPr>
      </w:pPr>
    </w:p>
    <w:p w14:paraId="492F778C">
      <w:pPr>
        <w:numPr>
          <w:ilvl w:val="0"/>
          <w:numId w:val="1"/>
        </w:numPr>
        <w:rPr>
          <w:rFonts w:hint="eastAsia"/>
          <w:b/>
          <w:color w:val="auto"/>
          <w:sz w:val="24"/>
          <w:highlight w:val="none"/>
        </w:rPr>
      </w:pPr>
      <w:r>
        <w:rPr>
          <w:rFonts w:hint="eastAsia"/>
          <w:b/>
          <w:color w:val="auto"/>
          <w:sz w:val="24"/>
          <w:highlight w:val="none"/>
        </w:rPr>
        <w:t>技术要求：</w:t>
      </w:r>
    </w:p>
    <w:p w14:paraId="29985BAD">
      <w:pPr>
        <w:keepNext w:val="0"/>
        <w:keepLines w:val="0"/>
        <w:pageBreakBefore w:val="0"/>
        <w:widowControl w:val="0"/>
        <w:kinsoku/>
        <w:wordWrap/>
        <w:overflowPunct/>
        <w:topLinePunct w:val="0"/>
        <w:bidi w:val="0"/>
        <w:snapToGrid/>
        <w:spacing w:line="360" w:lineRule="auto"/>
        <w:ind w:left="85"/>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 配置与功能</w:t>
      </w:r>
    </w:p>
    <w:p w14:paraId="5501B7DD">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具备</w:t>
      </w:r>
      <w:r>
        <w:rPr>
          <w:rFonts w:ascii="宋体" w:hAnsi="宋体"/>
          <w:bCs/>
          <w:color w:val="auto"/>
          <w:sz w:val="24"/>
          <w:szCs w:val="24"/>
          <w:highlight w:val="none"/>
        </w:rPr>
        <w:t>主要部件</w:t>
      </w:r>
      <w:r>
        <w:rPr>
          <w:rFonts w:hint="eastAsia" w:ascii="宋体" w:hAnsi="宋体"/>
          <w:bCs/>
          <w:color w:val="auto"/>
          <w:sz w:val="24"/>
          <w:szCs w:val="24"/>
          <w:highlight w:val="none"/>
        </w:rPr>
        <w:t>：投影镜头≥1套、照明系统≥1套、光罩对准系统≥1套、晶圆对准系统≥1套、晶圆承载台≥1套、晶圆传输系统≥1套、光罩传输系统≥1套，对焦系统≥1套等；</w:t>
      </w:r>
    </w:p>
    <w:p w14:paraId="3DF78615">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对</w:t>
      </w:r>
      <w:r>
        <w:rPr>
          <w:rFonts w:hint="eastAsia" w:ascii="宋体" w:hAnsi="宋体"/>
          <w:bCs/>
          <w:color w:val="auto"/>
          <w:sz w:val="24"/>
          <w:szCs w:val="24"/>
          <w:highlight w:val="none"/>
          <w:lang w:val="en"/>
        </w:rPr>
        <w:t>机台现况描述；</w:t>
      </w:r>
    </w:p>
    <w:p w14:paraId="5BDFA393">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ascii="宋体" w:hAnsi="宋体"/>
          <w:bCs/>
          <w:color w:val="auto"/>
          <w:sz w:val="24"/>
          <w:szCs w:val="24"/>
          <w:highlight w:val="none"/>
        </w:rPr>
        <w:t>电源：设备用电采用中国电压标准（380V/三相或220V/单相，50Hz）。如果不是中国电压标准，需供方配备相应的变压器。</w:t>
      </w:r>
    </w:p>
    <w:p w14:paraId="2D933757">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系统配置，能够以系统图形式显示系统流量，温度；具有编辑，调用，存储及查询等功能，便于工艺管理；提供可编辑的正版系统控制软件系统，方便用户未来系统升级；兼容windows和office系统，可直接输出office 格式的数据记录文件和菜单文件；</w:t>
      </w:r>
    </w:p>
    <w:p w14:paraId="03BEBE87">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安全互锁功能：具有异常报警功能及紧急停止系统，并满足手动、自动、维护多种控制模式。</w:t>
      </w:r>
    </w:p>
    <w:p w14:paraId="47A0042E">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软件功能，至少4级用户权限管理，用户可以对工艺配方进行创建、删除、修改等操作；可随时查询历史、实时报警、作业、参数情况；可进行部件生命周期管理；</w:t>
      </w:r>
    </w:p>
    <w:p w14:paraId="60CD28F5">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ascii="宋体" w:hAnsi="宋体"/>
          <w:bCs/>
          <w:color w:val="auto"/>
          <w:sz w:val="24"/>
          <w:szCs w:val="24"/>
          <w:highlight w:val="none"/>
        </w:rPr>
        <w:t>投标方应根据系统构成逐项报价，包括设备主体、关键部件、主要配件、特殊工具等。设备中关键部件或配件均要求采用国际一线品牌，并注明原产国、厂商及具体型号。</w:t>
      </w:r>
    </w:p>
    <w:p w14:paraId="71ABED74">
      <w:pPr>
        <w:pStyle w:val="6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369" w:leftChars="0" w:right="169" w:rightChars="0"/>
        <w:textAlignment w:val="auto"/>
        <w:rPr>
          <w:rFonts w:hint="eastAsia" w:ascii="宋体" w:hAnsi="宋体"/>
          <w:bCs/>
          <w:color w:val="auto"/>
          <w:sz w:val="24"/>
          <w:szCs w:val="24"/>
          <w:highlight w:val="none"/>
        </w:rPr>
      </w:pPr>
    </w:p>
    <w:p w14:paraId="39A92D73">
      <w:pPr>
        <w:keepNext w:val="0"/>
        <w:keepLines w:val="0"/>
        <w:pageBreakBefore w:val="0"/>
        <w:widowControl w:val="0"/>
        <w:kinsoku/>
        <w:wordWrap/>
        <w:overflowPunct/>
        <w:topLinePunct w:val="0"/>
        <w:bidi w:val="0"/>
        <w:snapToGrid/>
        <w:spacing w:line="360" w:lineRule="auto"/>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2. 技术规格</w:t>
      </w:r>
    </w:p>
    <w:p w14:paraId="2A416494">
      <w:pPr>
        <w:pStyle w:val="67"/>
        <w:numPr>
          <w:ilvl w:val="0"/>
          <w:numId w:val="2"/>
        </w:numPr>
        <w:autoSpaceDE w:val="0"/>
        <w:autoSpaceDN w:val="0"/>
        <w:adjustRightInd w:val="0"/>
        <w:spacing w:after="160" w:line="300" w:lineRule="auto"/>
        <w:ind w:firstLineChars="0"/>
        <w:rPr>
          <w:rFonts w:hint="eastAsia" w:ascii="宋体" w:hAnsi="宋体"/>
          <w:bCs/>
          <w:vanish/>
          <w:color w:val="auto"/>
          <w:sz w:val="21"/>
          <w:szCs w:val="21"/>
          <w:highlight w:val="none"/>
        </w:rPr>
      </w:pPr>
    </w:p>
    <w:p w14:paraId="29BC4667">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lang w:val="en"/>
        </w:rPr>
        <w:t>传输系统</w:t>
      </w:r>
    </w:p>
    <w:p w14:paraId="36E59F95">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rPr>
        <w:t>★</w:t>
      </w:r>
      <w:r>
        <w:rPr>
          <w:rFonts w:hint="eastAsia" w:ascii="宋体" w:hAnsi="宋体"/>
          <w:bCs/>
          <w:color w:val="auto"/>
          <w:sz w:val="24"/>
          <w:szCs w:val="24"/>
          <w:highlight w:val="none"/>
          <w:lang w:val="en"/>
        </w:rPr>
        <w:t>具备8/12寸自动上下料的EFEM系统；</w:t>
      </w:r>
    </w:p>
    <w:p w14:paraId="2227D984">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lang w:val="en" w:eastAsia="zh-CN"/>
        </w:rPr>
        <w:t>#</w:t>
      </w:r>
      <w:r>
        <w:rPr>
          <w:rFonts w:hint="eastAsia" w:ascii="宋体" w:hAnsi="宋体"/>
          <w:bCs/>
          <w:color w:val="auto"/>
          <w:sz w:val="24"/>
          <w:szCs w:val="24"/>
          <w:highlight w:val="none"/>
          <w:lang w:val="en"/>
        </w:rPr>
        <w:t>对准精度：X,Y≤25</w:t>
      </w:r>
      <w:r>
        <w:rPr>
          <w:rFonts w:hint="eastAsia" w:ascii="宋体" w:hAnsi="宋体"/>
          <w:bCs/>
          <w:color w:val="auto"/>
          <w:sz w:val="24"/>
          <w:szCs w:val="24"/>
          <w:highlight w:val="none"/>
          <w:lang w:val="en-US" w:eastAsia="zh-CN"/>
        </w:rPr>
        <w:t>μ</w:t>
      </w:r>
      <w:r>
        <w:rPr>
          <w:rFonts w:hint="eastAsia" w:ascii="宋体" w:hAnsi="宋体"/>
          <w:bCs/>
          <w:color w:val="auto"/>
          <w:sz w:val="24"/>
          <w:szCs w:val="24"/>
          <w:highlight w:val="none"/>
          <w:lang w:val="en"/>
        </w:rPr>
        <w:t>m，θ≤100</w:t>
      </w:r>
      <w:r>
        <w:rPr>
          <w:rFonts w:hint="eastAsia" w:ascii="宋体" w:hAnsi="宋体"/>
          <w:bCs/>
          <w:color w:val="auto"/>
          <w:sz w:val="24"/>
          <w:szCs w:val="24"/>
          <w:highlight w:val="none"/>
          <w:lang w:val="en-US" w:eastAsia="zh-CN"/>
        </w:rPr>
        <w:t>μ</w:t>
      </w:r>
      <w:r>
        <w:rPr>
          <w:rFonts w:hint="eastAsia" w:ascii="宋体" w:hAnsi="宋体"/>
          <w:bCs/>
          <w:color w:val="auto"/>
          <w:sz w:val="24"/>
          <w:szCs w:val="24"/>
          <w:highlight w:val="none"/>
          <w:lang w:val="en"/>
        </w:rPr>
        <w:t>rad；</w:t>
      </w:r>
    </w:p>
    <w:p w14:paraId="6DD0743E">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lang w:val="en"/>
        </w:rPr>
        <w:t>Loadport数量：≥2</w:t>
      </w:r>
      <w:r>
        <w:rPr>
          <w:rFonts w:hint="eastAsia" w:ascii="宋体" w:hAnsi="宋体"/>
          <w:bCs/>
          <w:color w:val="auto"/>
          <w:sz w:val="24"/>
          <w:szCs w:val="24"/>
          <w:highlight w:val="none"/>
        </w:rPr>
        <w:t>个</w:t>
      </w:r>
      <w:r>
        <w:rPr>
          <w:rFonts w:hint="eastAsia" w:ascii="宋体" w:hAnsi="宋体"/>
          <w:bCs/>
          <w:color w:val="auto"/>
          <w:sz w:val="24"/>
          <w:szCs w:val="24"/>
          <w:highlight w:val="none"/>
          <w:lang w:val="en"/>
        </w:rPr>
        <w:t>；</w:t>
      </w:r>
    </w:p>
    <w:p w14:paraId="71085FD0">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lang w:val="en"/>
        </w:rPr>
        <w:t>预对准装置：支持8/12寸切换；</w:t>
      </w:r>
    </w:p>
    <w:p w14:paraId="6950A0FA">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lang w:val="en"/>
        </w:rPr>
        <w:t>光罩对准精度：3σ≤10nm；</w:t>
      </w:r>
    </w:p>
    <w:p w14:paraId="553C7EBF">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rPr>
        <w:t>投影镜头</w:t>
      </w:r>
    </w:p>
    <w:p w14:paraId="0CD73CC2">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rPr>
        <w:t>★</w:t>
      </w:r>
      <w:r>
        <w:rPr>
          <w:rFonts w:hint="eastAsia" w:ascii="宋体" w:hAnsi="宋体"/>
          <w:bCs/>
          <w:color w:val="auto"/>
          <w:sz w:val="24"/>
          <w:szCs w:val="24"/>
          <w:highlight w:val="none"/>
          <w:lang w:val="en"/>
        </w:rPr>
        <w:t>投影镜头规格4：1；</w:t>
      </w:r>
    </w:p>
    <w:p w14:paraId="38428A03">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lang w:val="en" w:eastAsia="zh-CN"/>
        </w:rPr>
        <w:t>#</w:t>
      </w:r>
      <w:r>
        <w:rPr>
          <w:rFonts w:hint="eastAsia" w:ascii="宋体" w:hAnsi="宋体"/>
          <w:bCs/>
          <w:color w:val="auto"/>
          <w:sz w:val="24"/>
          <w:szCs w:val="24"/>
          <w:highlight w:val="none"/>
          <w:lang w:val="en"/>
        </w:rPr>
        <w:t>焦深：range≥0.8</w:t>
      </w:r>
      <w:r>
        <w:rPr>
          <w:rFonts w:hint="eastAsia" w:ascii="宋体" w:hAnsi="宋体"/>
          <w:bCs/>
          <w:color w:val="auto"/>
          <w:sz w:val="24"/>
          <w:szCs w:val="24"/>
          <w:highlight w:val="none"/>
          <w:lang w:val="en-US" w:eastAsia="zh-CN"/>
        </w:rPr>
        <w:t>μ</w:t>
      </w:r>
      <w:r>
        <w:rPr>
          <w:rFonts w:hint="eastAsia" w:ascii="宋体" w:hAnsi="宋体"/>
          <w:bCs/>
          <w:color w:val="auto"/>
          <w:sz w:val="24"/>
          <w:szCs w:val="24"/>
          <w:highlight w:val="none"/>
          <w:lang w:val="en"/>
        </w:rPr>
        <w:t>m；</w:t>
      </w:r>
    </w:p>
    <w:p w14:paraId="6BB55D05">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rPr>
        <w:t>数值孔径NA≥0.5；</w:t>
      </w:r>
    </w:p>
    <w:p w14:paraId="27BE710B">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rPr>
        <w:t>镜头畸变：DX,DY≤25nm；</w:t>
      </w:r>
    </w:p>
    <w:p w14:paraId="50037FF2">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rPr>
        <w:t>场内焦差：range≤400nm；</w:t>
      </w:r>
    </w:p>
    <w:p w14:paraId="315055A9">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lang w:val="en"/>
        </w:rPr>
        <w:t>要求投影镜头无黑点异常；</w:t>
      </w:r>
    </w:p>
    <w:p w14:paraId="71F2F9B3">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照明系统</w:t>
      </w:r>
    </w:p>
    <w:p w14:paraId="116248E8">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★光源：使用波长=365nm的I线汞灯；</w:t>
      </w:r>
    </w:p>
    <w:p w14:paraId="0293AFF2">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光强：≥1100mW/cm</w:t>
      </w:r>
      <w:r>
        <w:rPr>
          <w:rFonts w:hint="eastAsia" w:ascii="宋体" w:hAnsi="宋体"/>
          <w:bCs/>
          <w:color w:val="auto"/>
          <w:sz w:val="24"/>
          <w:szCs w:val="24"/>
          <w:highlight w:val="none"/>
          <w:vertAlign w:val="superscript"/>
        </w:rPr>
        <w:t>2</w:t>
      </w:r>
      <w:r>
        <w:rPr>
          <w:rFonts w:hint="eastAsia" w:ascii="宋体" w:hAnsi="宋体"/>
          <w:bCs/>
          <w:color w:val="auto"/>
          <w:sz w:val="24"/>
          <w:szCs w:val="24"/>
          <w:highlight w:val="none"/>
        </w:rPr>
        <w:t>；</w:t>
      </w:r>
    </w:p>
    <w:p w14:paraId="76D18B36">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光强均一性：≤2%；</w:t>
      </w:r>
    </w:p>
    <w:p w14:paraId="5FD68E94">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综合曝光剂量控制精度：≤1%；</w:t>
      </w:r>
    </w:p>
    <w:p w14:paraId="4528AD31">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晶圆对准系统</w:t>
      </w:r>
    </w:p>
    <w:p w14:paraId="4488FA15">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套刻精度：Total |m|+3σ≦30nm；</w:t>
      </w:r>
    </w:p>
    <w:p w14:paraId="55EEC3D4">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粗对准标记自动搜寻范围：X≥200</w:t>
      </w:r>
      <w:r>
        <w:rPr>
          <w:rFonts w:hint="eastAsia" w:ascii="宋体" w:hAnsi="宋体"/>
          <w:bCs/>
          <w:color w:val="auto"/>
          <w:sz w:val="24"/>
          <w:szCs w:val="24"/>
          <w:highlight w:val="none"/>
          <w:lang w:val="en-US" w:eastAsia="zh-CN"/>
        </w:rPr>
        <w:t>μ</w:t>
      </w:r>
      <w:r>
        <w:rPr>
          <w:rFonts w:hint="eastAsia" w:ascii="宋体" w:hAnsi="宋体"/>
          <w:bCs/>
          <w:color w:val="auto"/>
          <w:sz w:val="24"/>
          <w:szCs w:val="24"/>
          <w:highlight w:val="none"/>
        </w:rPr>
        <w:t>m，Y≥150</w:t>
      </w:r>
      <w:r>
        <w:rPr>
          <w:rFonts w:hint="eastAsia" w:ascii="宋体" w:hAnsi="宋体"/>
          <w:bCs/>
          <w:color w:val="auto"/>
          <w:sz w:val="24"/>
          <w:szCs w:val="24"/>
          <w:highlight w:val="none"/>
          <w:lang w:val="en-US" w:eastAsia="zh-CN"/>
        </w:rPr>
        <w:t>μ</w:t>
      </w:r>
      <w:r>
        <w:rPr>
          <w:rFonts w:hint="eastAsia" w:ascii="宋体" w:hAnsi="宋体"/>
          <w:bCs/>
          <w:color w:val="auto"/>
          <w:sz w:val="24"/>
          <w:szCs w:val="24"/>
          <w:highlight w:val="none"/>
        </w:rPr>
        <w:t>m；</w:t>
      </w:r>
    </w:p>
    <w:p w14:paraId="43DB91CE">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晶圆承载台</w:t>
      </w:r>
    </w:p>
    <w:p w14:paraId="597553FE">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步进精度：Total 3σ≦35nm；</w:t>
      </w:r>
    </w:p>
    <w:p w14:paraId="05240E0B">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步进重复性：Total 3σ≦20nm；</w:t>
      </w:r>
    </w:p>
    <w:p w14:paraId="533B7C82">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承载台平坦度：≤2</w:t>
      </w:r>
      <w:r>
        <w:rPr>
          <w:rFonts w:hint="eastAsia" w:ascii="宋体" w:hAnsi="宋体"/>
          <w:bCs/>
          <w:color w:val="auto"/>
          <w:sz w:val="24"/>
          <w:szCs w:val="24"/>
          <w:highlight w:val="none"/>
          <w:lang w:val="en-US" w:eastAsia="zh-CN"/>
        </w:rPr>
        <w:t>μ</w:t>
      </w:r>
      <w:r>
        <w:rPr>
          <w:rFonts w:hint="eastAsia" w:ascii="宋体" w:hAnsi="宋体"/>
          <w:bCs/>
          <w:color w:val="auto"/>
          <w:sz w:val="24"/>
          <w:szCs w:val="24"/>
          <w:highlight w:val="none"/>
        </w:rPr>
        <w:t>m；</w:t>
      </w:r>
    </w:p>
    <w:p w14:paraId="2C247021">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对焦系统</w:t>
      </w:r>
    </w:p>
    <w:p w14:paraId="0CEE60DB">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镜头对焦重复性：3σ≤80nm；</w:t>
      </w:r>
    </w:p>
    <w:p w14:paraId="3006743F">
      <w:pPr>
        <w:pStyle w:val="67"/>
        <w:keepNext w:val="0"/>
        <w:keepLines w:val="0"/>
        <w:pageBreakBefore w:val="0"/>
        <w:widowControl w:val="0"/>
        <w:numPr>
          <w:ilvl w:val="2"/>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调焦调平重复性：≤9ppm；</w:t>
      </w:r>
    </w:p>
    <w:p w14:paraId="02A661B1">
      <w:pPr>
        <w:pStyle w:val="67"/>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textAlignment w:val="auto"/>
        <w:rPr>
          <w:rFonts w:hint="eastAsia" w:ascii="宋体" w:hAnsi="宋体"/>
          <w:bCs/>
          <w:color w:val="auto"/>
          <w:sz w:val="24"/>
          <w:szCs w:val="24"/>
          <w:highlight w:val="none"/>
        </w:rPr>
      </w:pPr>
    </w:p>
    <w:p w14:paraId="43FE7DBF">
      <w:pPr>
        <w:pStyle w:val="67"/>
        <w:keepNext w:val="0"/>
        <w:keepLines w:val="0"/>
        <w:pageBreakBefore w:val="0"/>
        <w:widowControl w:val="0"/>
        <w:kinsoku/>
        <w:wordWrap/>
        <w:overflowPunct/>
        <w:topLinePunct w:val="0"/>
        <w:bidi w:val="0"/>
        <w:snapToGrid/>
        <w:spacing w:line="360" w:lineRule="auto"/>
        <w:ind w:left="158" w:firstLine="0" w:firstLineChars="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 工艺指标</w:t>
      </w:r>
    </w:p>
    <w:p w14:paraId="152AD5F1">
      <w:pPr>
        <w:pStyle w:val="67"/>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textAlignment w:val="auto"/>
        <w:rPr>
          <w:rFonts w:hint="eastAsia" w:ascii="宋体" w:hAnsi="宋体"/>
          <w:bCs/>
          <w:vanish/>
          <w:color w:val="auto"/>
          <w:sz w:val="24"/>
          <w:szCs w:val="24"/>
          <w:highlight w:val="none"/>
        </w:rPr>
      </w:pPr>
    </w:p>
    <w:p w14:paraId="275E48F5">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★晶圆尺寸兼容情况：8/12寸兼容；</w:t>
      </w:r>
    </w:p>
    <w:p w14:paraId="6721A0A4">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
        </w:rPr>
        <w:t>★机台分辨率:≤0.35</w:t>
      </w:r>
      <w:r>
        <w:rPr>
          <w:rFonts w:hint="eastAsia" w:ascii="宋体" w:hAnsi="宋体"/>
          <w:bCs/>
          <w:color w:val="auto"/>
          <w:sz w:val="24"/>
          <w:szCs w:val="24"/>
          <w:highlight w:val="none"/>
          <w:lang w:val="en-US" w:eastAsia="zh-CN"/>
        </w:rPr>
        <w:t>μ</w:t>
      </w:r>
      <w:r>
        <w:rPr>
          <w:rFonts w:hint="eastAsia" w:ascii="宋体" w:hAnsi="宋体"/>
          <w:bCs/>
          <w:color w:val="auto"/>
          <w:sz w:val="24"/>
          <w:szCs w:val="24"/>
          <w:highlight w:val="none"/>
          <w:lang w:val="en"/>
        </w:rPr>
        <w:t>m，稳定生产线宽：≤0.4</w:t>
      </w:r>
      <w:r>
        <w:rPr>
          <w:rFonts w:hint="eastAsia" w:ascii="宋体" w:hAnsi="宋体"/>
          <w:bCs/>
          <w:color w:val="auto"/>
          <w:sz w:val="24"/>
          <w:szCs w:val="24"/>
          <w:highlight w:val="none"/>
          <w:lang w:val="en-US" w:eastAsia="zh-CN"/>
        </w:rPr>
        <w:t>μ</w:t>
      </w:r>
      <w:r>
        <w:rPr>
          <w:rFonts w:hint="eastAsia" w:ascii="宋体" w:hAnsi="宋体"/>
          <w:bCs/>
          <w:color w:val="auto"/>
          <w:sz w:val="24"/>
          <w:szCs w:val="24"/>
          <w:highlight w:val="none"/>
          <w:lang w:val="en"/>
        </w:rPr>
        <w:t>m；</w:t>
      </w:r>
    </w:p>
    <w:p w14:paraId="101C91EB">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曝光显影后PR垂直度：≥85°；</w:t>
      </w:r>
    </w:p>
    <w:p w14:paraId="33168BC9">
      <w:pPr>
        <w:pStyle w:val="67"/>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936" w:firstLineChars="0"/>
        <w:textAlignment w:val="auto"/>
        <w:rPr>
          <w:rFonts w:hint="eastAsia" w:ascii="宋体" w:hAnsi="宋体"/>
          <w:bCs/>
          <w:color w:val="auto"/>
          <w:sz w:val="24"/>
          <w:szCs w:val="24"/>
          <w:highlight w:val="none"/>
          <w:lang w:val="en"/>
        </w:rPr>
      </w:pPr>
      <w:r>
        <w:rPr>
          <w:rFonts w:hint="eastAsia" w:ascii="宋体" w:hAnsi="宋体"/>
          <w:bCs/>
          <w:color w:val="auto"/>
          <w:sz w:val="24"/>
          <w:szCs w:val="24"/>
          <w:highlight w:val="none"/>
          <w:lang w:val="en"/>
        </w:rPr>
        <w:t>CD均一性:L&amp;S≤35nm；</w:t>
      </w:r>
    </w:p>
    <w:p w14:paraId="69D565A2">
      <w:pPr>
        <w:pStyle w:val="6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369" w:leftChars="0" w:right="169" w:rightChars="0"/>
        <w:textAlignment w:val="auto"/>
        <w:rPr>
          <w:rFonts w:hint="eastAsia" w:ascii="宋体" w:hAnsi="宋体"/>
          <w:bCs/>
          <w:color w:val="auto"/>
          <w:sz w:val="24"/>
          <w:szCs w:val="24"/>
          <w:highlight w:val="none"/>
          <w:lang w:val="en"/>
        </w:rPr>
      </w:pPr>
    </w:p>
    <w:p w14:paraId="02FD6654">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4</w:t>
      </w:r>
      <w:r>
        <w:rPr>
          <w:rFonts w:ascii="宋体" w:hAnsi="宋体"/>
          <w:b/>
          <w:bCs/>
          <w:color w:val="auto"/>
          <w:sz w:val="24"/>
          <w:szCs w:val="24"/>
          <w:highlight w:val="none"/>
        </w:rPr>
        <w:t>.</w:t>
      </w:r>
      <w:r>
        <w:rPr>
          <w:rFonts w:hint="eastAsia" w:ascii="宋体" w:hAnsi="宋体"/>
          <w:b/>
          <w:bCs/>
          <w:color w:val="auto"/>
          <w:sz w:val="24"/>
          <w:szCs w:val="24"/>
          <w:highlight w:val="none"/>
        </w:rPr>
        <w:t xml:space="preserve"> 技术资料要求</w:t>
      </w:r>
    </w:p>
    <w:p w14:paraId="4E4B62DB">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4.1 投标时技术资料清单。</w:t>
      </w:r>
    </w:p>
    <w:p w14:paraId="3D1C4A32">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 </w:t>
      </w:r>
      <w:r>
        <w:rPr>
          <w:rFonts w:hint="eastAsia" w:ascii="宋体" w:hAnsi="宋体"/>
          <w:color w:val="auto"/>
          <w:sz w:val="24"/>
          <w:szCs w:val="24"/>
          <w:highlight w:val="none"/>
        </w:rPr>
        <w:t>设备产品说明，至少包括结构、外形尺寸、技术特点和性能参数。</w:t>
      </w:r>
    </w:p>
    <w:p w14:paraId="01573A75">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 xml:space="preserve"> 设备验收方案。供方须根据设备功能与配置、技术指标要求编制验收方案。验收方案中应列出主要技术指标的测试方法。</w:t>
      </w:r>
    </w:p>
    <w:p w14:paraId="0A6A4943">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 xml:space="preserve">) </w:t>
      </w:r>
      <w:r>
        <w:rPr>
          <w:rFonts w:hint="eastAsia" w:ascii="宋体" w:hAnsi="宋体"/>
          <w:color w:val="auto"/>
          <w:sz w:val="24"/>
          <w:szCs w:val="24"/>
          <w:highlight w:val="none"/>
        </w:rPr>
        <w:t>设备厂务需求与配管连接表（包含但不限于电力、冷却水、环境条件、排气、工艺气路连接等要求）。</w:t>
      </w:r>
    </w:p>
    <w:p w14:paraId="2A895001">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 xml:space="preserve"> 不包含在供货范围内的设备备件、耗材，分项报价，不计入总价，作为招标人日后购买的价格参考。</w:t>
      </w:r>
    </w:p>
    <w:p w14:paraId="70CF1256">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ascii="宋体" w:hAnsi="宋体"/>
          <w:color w:val="auto"/>
          <w:sz w:val="24"/>
          <w:szCs w:val="24"/>
          <w:highlight w:val="none"/>
        </w:rPr>
        <w:t xml:space="preserve">5) </w:t>
      </w:r>
      <w:r>
        <w:rPr>
          <w:rFonts w:hint="eastAsia" w:ascii="宋体" w:hAnsi="宋体"/>
          <w:color w:val="auto"/>
          <w:sz w:val="24"/>
          <w:szCs w:val="24"/>
          <w:highlight w:val="none"/>
        </w:rPr>
        <w:t>售后服务方案（至少包括保修期内售后服务计划、保修期外售后服务计划以及费用说明等）。</w:t>
      </w:r>
    </w:p>
    <w:p w14:paraId="52FF58E0">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4.2 设备供货时随机资料清单</w:t>
      </w:r>
    </w:p>
    <w:p w14:paraId="290173B3">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ascii="宋体" w:hAnsi="宋体"/>
          <w:color w:val="auto"/>
          <w:sz w:val="24"/>
          <w:szCs w:val="24"/>
          <w:highlight w:val="none"/>
        </w:rPr>
        <w:t>1) 配件清单。</w:t>
      </w:r>
    </w:p>
    <w:p w14:paraId="37C06A34">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ascii="宋体" w:hAnsi="宋体"/>
          <w:color w:val="auto"/>
          <w:sz w:val="24"/>
          <w:szCs w:val="24"/>
          <w:highlight w:val="none"/>
        </w:rPr>
        <w:t xml:space="preserve">2) </w:t>
      </w:r>
      <w:r>
        <w:rPr>
          <w:rFonts w:hint="eastAsia" w:ascii="宋体" w:hAnsi="宋体"/>
          <w:color w:val="auto"/>
          <w:sz w:val="24"/>
          <w:szCs w:val="24"/>
          <w:highlight w:val="none"/>
        </w:rPr>
        <w:t>设备使用说明书（包含</w:t>
      </w:r>
      <w:r>
        <w:rPr>
          <w:rFonts w:ascii="宋体" w:hAnsi="宋体"/>
          <w:color w:val="auto"/>
          <w:sz w:val="24"/>
          <w:szCs w:val="24"/>
          <w:highlight w:val="none"/>
        </w:rPr>
        <w:t>详细的用户手册及相关机械、电控等装配图纸</w:t>
      </w:r>
      <w:r>
        <w:rPr>
          <w:rFonts w:hint="eastAsia" w:ascii="宋体" w:hAnsi="宋体"/>
          <w:color w:val="auto"/>
          <w:sz w:val="24"/>
          <w:szCs w:val="24"/>
          <w:highlight w:val="none"/>
        </w:rPr>
        <w:t>等）：至少1套洁净纸质版和1套电子版光盘。</w:t>
      </w:r>
    </w:p>
    <w:p w14:paraId="6BB70E00">
      <w:pPr>
        <w:keepNext w:val="0"/>
        <w:keepLines w:val="0"/>
        <w:pageBreakBefore w:val="0"/>
        <w:widowControl w:val="0"/>
        <w:kinsoku/>
        <w:wordWrap/>
        <w:overflowPunct/>
        <w:topLinePunct w:val="0"/>
        <w:bidi w:val="0"/>
        <w:snapToGrid/>
        <w:spacing w:line="360" w:lineRule="auto"/>
        <w:ind w:left="158" w:leftChars="75"/>
        <w:jc w:val="left"/>
        <w:textAlignment w:val="auto"/>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 xml:space="preserve"> 出厂检验报告。</w:t>
      </w:r>
    </w:p>
    <w:p w14:paraId="055DF4D4">
      <w:pPr>
        <w:spacing w:line="360" w:lineRule="auto"/>
        <w:rPr>
          <w:rFonts w:hint="eastAsia"/>
          <w:color w:val="auto"/>
          <w:sz w:val="24"/>
          <w:highlight w:val="none"/>
        </w:rPr>
      </w:pPr>
    </w:p>
    <w:p w14:paraId="7A5D2F35">
      <w:pPr>
        <w:spacing w:line="360" w:lineRule="auto"/>
        <w:rPr>
          <w:rFonts w:hint="eastAsia"/>
          <w:b/>
          <w:color w:val="auto"/>
          <w:sz w:val="24"/>
          <w:highlight w:val="none"/>
        </w:rPr>
      </w:pPr>
      <w:r>
        <w:rPr>
          <w:rFonts w:hint="eastAsia"/>
          <w:b/>
          <w:color w:val="auto"/>
          <w:sz w:val="24"/>
          <w:highlight w:val="none"/>
        </w:rPr>
        <w:t>（</w:t>
      </w:r>
      <w:r>
        <w:rPr>
          <w:rFonts w:hint="eastAsia"/>
          <w:b/>
          <w:color w:val="auto"/>
          <w:sz w:val="24"/>
          <w:highlight w:val="none"/>
          <w:lang w:val="en-US" w:eastAsia="zh-CN"/>
        </w:rPr>
        <w:t>三</w:t>
      </w:r>
      <w:r>
        <w:rPr>
          <w:rFonts w:hint="eastAsia"/>
          <w:b/>
          <w:color w:val="auto"/>
          <w:sz w:val="24"/>
          <w:highlight w:val="none"/>
        </w:rPr>
        <w:t>）</w:t>
      </w:r>
      <w:r>
        <w:rPr>
          <w:rFonts w:hint="eastAsia" w:ascii="宋体" w:hAnsi="宋体"/>
          <w:b/>
          <w:bCs/>
          <w:color w:val="auto"/>
          <w:sz w:val="24"/>
          <w:szCs w:val="24"/>
          <w:highlight w:val="none"/>
        </w:rPr>
        <w:t>质量保证</w:t>
      </w:r>
      <w:r>
        <w:rPr>
          <w:rFonts w:hint="eastAsia"/>
          <w:b/>
          <w:color w:val="auto"/>
          <w:sz w:val="24"/>
          <w:highlight w:val="none"/>
        </w:rPr>
        <w:t>：</w:t>
      </w:r>
    </w:p>
    <w:p w14:paraId="05FA84C8">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1、质保期为双方正式签署设备最终验收证明书之日起不少于12个月。</w:t>
      </w:r>
    </w:p>
    <w:p w14:paraId="76C4B256">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安装、调试、验收、培训及保修期内技术服务期间发生的交通、食宿等活动的费用由卖方自行负责。</w:t>
      </w:r>
    </w:p>
    <w:p w14:paraId="72FA8A98">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卖方应在投标书中声明其售后服务承诺，说明其售后服务方式和服务内容和能力，售后服务不得违背其服务方式和承诺。</w:t>
      </w:r>
    </w:p>
    <w:p w14:paraId="10A3E514">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质保期内卖方负责免费维修设备</w:t>
      </w:r>
      <w:r>
        <w:rPr>
          <w:rFonts w:hint="eastAsia" w:ascii="宋体" w:hAnsi="宋体"/>
          <w:color w:val="auto"/>
          <w:sz w:val="24"/>
          <w:szCs w:val="24"/>
          <w:highlight w:val="none"/>
        </w:rPr>
        <w:t>，若需设备或部件返厂维修，由卖方负责相关</w:t>
      </w:r>
      <w:r>
        <w:rPr>
          <w:rFonts w:ascii="宋体" w:hAnsi="宋体"/>
          <w:color w:val="auto"/>
          <w:sz w:val="24"/>
          <w:szCs w:val="24"/>
          <w:highlight w:val="none"/>
        </w:rPr>
        <w:t>运输费。</w:t>
      </w:r>
    </w:p>
    <w:p w14:paraId="7A97ED7B">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5、无论是否在质保期内，卖方应在接到买方报修电话或者邮件通知后4小时内响应（工作日内）。</w:t>
      </w:r>
    </w:p>
    <w:p w14:paraId="317E70E2">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6、质保期内，</w:t>
      </w:r>
      <w:r>
        <w:rPr>
          <w:rFonts w:ascii="宋体" w:hAnsi="宋体"/>
          <w:color w:val="auto"/>
          <w:sz w:val="24"/>
          <w:szCs w:val="24"/>
          <w:highlight w:val="none"/>
        </w:rPr>
        <w:t>卖方应在</w:t>
      </w:r>
      <w:r>
        <w:rPr>
          <w:rFonts w:hint="eastAsia" w:ascii="宋体" w:hAnsi="宋体"/>
          <w:color w:val="auto"/>
          <w:sz w:val="24"/>
          <w:szCs w:val="24"/>
          <w:highlight w:val="none"/>
        </w:rPr>
        <w:t>接到买方报修通知后</w:t>
      </w:r>
      <w:r>
        <w:rPr>
          <w:rFonts w:ascii="宋体" w:hAnsi="宋体"/>
          <w:color w:val="auto"/>
          <w:sz w:val="24"/>
          <w:szCs w:val="24"/>
          <w:highlight w:val="none"/>
        </w:rPr>
        <w:t>2个工作日内</w:t>
      </w:r>
      <w:r>
        <w:rPr>
          <w:rFonts w:hint="eastAsia" w:ascii="宋体" w:hAnsi="宋体"/>
          <w:color w:val="auto"/>
          <w:sz w:val="24"/>
          <w:szCs w:val="24"/>
          <w:highlight w:val="none"/>
        </w:rPr>
        <w:t>进行上门</w:t>
      </w:r>
      <w:r>
        <w:rPr>
          <w:rFonts w:ascii="宋体" w:hAnsi="宋体"/>
          <w:color w:val="auto"/>
          <w:sz w:val="24"/>
          <w:szCs w:val="24"/>
          <w:highlight w:val="none"/>
        </w:rPr>
        <w:t>维修服务。</w:t>
      </w:r>
    </w:p>
    <w:p w14:paraId="5ABD68D7">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7、提供售后服务部门或工程师的联系方式并在人员更换时及时通知买方。</w:t>
      </w:r>
    </w:p>
    <w:p w14:paraId="2F6BD8AC">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8、终生提供维修服务，保证10年以上备件供应。</w:t>
      </w:r>
    </w:p>
    <w:p w14:paraId="473E7993">
      <w:pPr>
        <w:spacing w:line="360" w:lineRule="auto"/>
        <w:ind w:left="158" w:leftChars="75"/>
        <w:rPr>
          <w:rFonts w:hint="eastAsia" w:ascii="宋体" w:hAnsi="宋体"/>
          <w:color w:val="auto"/>
          <w:sz w:val="24"/>
          <w:szCs w:val="24"/>
          <w:highlight w:val="none"/>
        </w:rPr>
      </w:pPr>
    </w:p>
    <w:p w14:paraId="57640CC9">
      <w:pPr>
        <w:spacing w:line="360" w:lineRule="auto"/>
        <w:rPr>
          <w:rFonts w:hint="eastAsia"/>
          <w:b/>
          <w:color w:val="auto"/>
          <w:sz w:val="24"/>
          <w:highlight w:val="none"/>
        </w:rPr>
      </w:pPr>
      <w:r>
        <w:rPr>
          <w:rFonts w:hint="eastAsia"/>
          <w:b/>
          <w:color w:val="auto"/>
          <w:sz w:val="24"/>
          <w:highlight w:val="none"/>
        </w:rPr>
        <w:t>（</w:t>
      </w:r>
      <w:r>
        <w:rPr>
          <w:rFonts w:hint="eastAsia"/>
          <w:b/>
          <w:color w:val="auto"/>
          <w:sz w:val="24"/>
          <w:highlight w:val="none"/>
          <w:lang w:val="en-US" w:eastAsia="zh-CN"/>
        </w:rPr>
        <w:t>四</w:t>
      </w:r>
      <w:r>
        <w:rPr>
          <w:rFonts w:hint="eastAsia"/>
          <w:b/>
          <w:color w:val="auto"/>
          <w:sz w:val="24"/>
          <w:highlight w:val="none"/>
        </w:rPr>
        <w:t>）验收及培训</w:t>
      </w:r>
    </w:p>
    <w:p w14:paraId="344B4DBE">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1、验收</w:t>
      </w:r>
    </w:p>
    <w:p w14:paraId="47F239E1">
      <w:pPr>
        <w:spacing w:line="360" w:lineRule="auto"/>
        <w:ind w:left="158" w:leftChars="75"/>
        <w:rPr>
          <w:rFonts w:hint="eastAsia" w:ascii="宋体" w:hAnsi="宋体"/>
          <w:color w:val="auto"/>
          <w:sz w:val="24"/>
          <w:szCs w:val="24"/>
          <w:highlight w:val="none"/>
        </w:rPr>
      </w:pPr>
      <w:r>
        <w:rPr>
          <w:rFonts w:ascii="宋体" w:hAnsi="宋体"/>
          <w:color w:val="auto"/>
          <w:sz w:val="24"/>
          <w:szCs w:val="24"/>
          <w:highlight w:val="none"/>
        </w:rPr>
        <w:t>1.1 设备验收依据</w:t>
      </w:r>
      <w:r>
        <w:rPr>
          <w:rFonts w:hint="eastAsia" w:ascii="宋体" w:hAnsi="宋体"/>
          <w:color w:val="auto"/>
          <w:sz w:val="24"/>
          <w:szCs w:val="24"/>
          <w:highlight w:val="none"/>
        </w:rPr>
        <w:t>:</w:t>
      </w:r>
    </w:p>
    <w:p w14:paraId="32A34DFF">
      <w:pPr>
        <w:spacing w:line="360" w:lineRule="auto"/>
        <w:ind w:left="158" w:leftChars="75" w:firstLine="484" w:firstLineChars="202"/>
        <w:rPr>
          <w:rFonts w:hint="eastAsia" w:ascii="宋体" w:hAnsi="宋体"/>
          <w:color w:val="auto"/>
          <w:sz w:val="24"/>
          <w:szCs w:val="24"/>
          <w:highlight w:val="none"/>
        </w:rPr>
      </w:pPr>
      <w:r>
        <w:rPr>
          <w:rFonts w:ascii="宋体" w:hAnsi="宋体"/>
          <w:color w:val="auto"/>
          <w:sz w:val="24"/>
          <w:szCs w:val="24"/>
          <w:highlight w:val="none"/>
        </w:rPr>
        <w:t>按照双方签订</w:t>
      </w:r>
      <w:r>
        <w:rPr>
          <w:rFonts w:hint="eastAsia" w:ascii="宋体" w:hAnsi="宋体"/>
          <w:color w:val="auto"/>
          <w:sz w:val="24"/>
          <w:szCs w:val="24"/>
          <w:highlight w:val="none"/>
        </w:rPr>
        <w:t>合同时</w:t>
      </w:r>
      <w:r>
        <w:rPr>
          <w:rFonts w:ascii="宋体" w:hAnsi="宋体"/>
          <w:color w:val="auto"/>
          <w:sz w:val="24"/>
          <w:szCs w:val="24"/>
          <w:highlight w:val="none"/>
        </w:rPr>
        <w:t>的《技术协议》要求验收，卖方必须提供出厂合格证及出厂测试报告。设备验收在用户现场进行，验收内容包括货物数量（按出厂清单）、外观质量、规格参数、设备</w:t>
      </w:r>
      <w:r>
        <w:rPr>
          <w:rFonts w:hint="eastAsia" w:ascii="宋体" w:hAnsi="宋体"/>
          <w:color w:val="auto"/>
          <w:sz w:val="24"/>
          <w:szCs w:val="24"/>
          <w:highlight w:val="none"/>
        </w:rPr>
        <w:t>性能</w:t>
      </w:r>
      <w:r>
        <w:rPr>
          <w:rFonts w:ascii="宋体" w:hAnsi="宋体"/>
          <w:color w:val="auto"/>
          <w:sz w:val="24"/>
          <w:szCs w:val="24"/>
          <w:highlight w:val="none"/>
        </w:rPr>
        <w:t>、附件和技术文件资料等内容。设备各项技术指标满足</w:t>
      </w:r>
      <w:r>
        <w:rPr>
          <w:rFonts w:hint="eastAsia" w:ascii="宋体" w:hAnsi="宋体"/>
          <w:color w:val="auto"/>
          <w:sz w:val="24"/>
          <w:szCs w:val="24"/>
          <w:highlight w:val="none"/>
        </w:rPr>
        <w:t>《</w:t>
      </w:r>
      <w:r>
        <w:rPr>
          <w:rFonts w:ascii="宋体" w:hAnsi="宋体"/>
          <w:color w:val="auto"/>
          <w:sz w:val="24"/>
          <w:szCs w:val="24"/>
          <w:highlight w:val="none"/>
        </w:rPr>
        <w:t>技术协议</w:t>
      </w:r>
      <w:r>
        <w:rPr>
          <w:rFonts w:hint="eastAsia" w:ascii="宋体" w:hAnsi="宋体"/>
          <w:color w:val="auto"/>
          <w:sz w:val="24"/>
          <w:szCs w:val="24"/>
          <w:highlight w:val="none"/>
        </w:rPr>
        <w:t>》所规定的相关内容</w:t>
      </w:r>
      <w:r>
        <w:rPr>
          <w:rFonts w:ascii="宋体" w:hAnsi="宋体"/>
          <w:color w:val="auto"/>
          <w:sz w:val="24"/>
          <w:szCs w:val="24"/>
          <w:highlight w:val="none"/>
        </w:rPr>
        <w:t>后，双方在最终验收</w:t>
      </w:r>
      <w:r>
        <w:rPr>
          <w:rFonts w:hint="eastAsia" w:ascii="宋体" w:hAnsi="宋体"/>
          <w:color w:val="auto"/>
          <w:sz w:val="24"/>
          <w:szCs w:val="24"/>
          <w:highlight w:val="none"/>
        </w:rPr>
        <w:t>证明书</w:t>
      </w:r>
      <w:r>
        <w:rPr>
          <w:rFonts w:ascii="宋体" w:hAnsi="宋体"/>
          <w:color w:val="auto"/>
          <w:sz w:val="24"/>
          <w:szCs w:val="24"/>
          <w:highlight w:val="none"/>
        </w:rPr>
        <w:t>签字。</w:t>
      </w:r>
    </w:p>
    <w:p w14:paraId="3DF400A2">
      <w:pPr>
        <w:spacing w:line="360" w:lineRule="auto"/>
        <w:ind w:left="158" w:leftChars="75"/>
        <w:rPr>
          <w:rFonts w:hint="eastAsia" w:ascii="宋体" w:hAnsi="宋体"/>
          <w:color w:val="auto"/>
          <w:sz w:val="24"/>
          <w:szCs w:val="24"/>
          <w:highlight w:val="none"/>
        </w:rPr>
      </w:pPr>
      <w:r>
        <w:rPr>
          <w:rFonts w:ascii="宋体" w:hAnsi="宋体"/>
          <w:color w:val="auto"/>
          <w:sz w:val="24"/>
          <w:szCs w:val="24"/>
          <w:highlight w:val="none"/>
        </w:rPr>
        <w:t>1.2 设备预验收及培训</w:t>
      </w:r>
      <w:r>
        <w:rPr>
          <w:rFonts w:hint="eastAsia" w:ascii="宋体" w:hAnsi="宋体"/>
          <w:color w:val="auto"/>
          <w:sz w:val="24"/>
          <w:szCs w:val="24"/>
          <w:highlight w:val="none"/>
        </w:rPr>
        <w:t>:</w:t>
      </w:r>
    </w:p>
    <w:p w14:paraId="54C92E40">
      <w:pPr>
        <w:spacing w:line="360" w:lineRule="auto"/>
        <w:ind w:left="158" w:leftChars="75"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设备</w:t>
      </w:r>
      <w:r>
        <w:rPr>
          <w:rFonts w:ascii="宋体" w:hAnsi="宋体"/>
          <w:color w:val="auto"/>
          <w:sz w:val="24"/>
          <w:szCs w:val="24"/>
          <w:highlight w:val="none"/>
        </w:rPr>
        <w:t>预验收在设备生产方进行，</w:t>
      </w:r>
      <w:r>
        <w:rPr>
          <w:rFonts w:hint="eastAsia" w:ascii="宋体" w:hAnsi="宋体"/>
          <w:color w:val="auto"/>
          <w:sz w:val="24"/>
          <w:szCs w:val="24"/>
          <w:highlight w:val="none"/>
        </w:rPr>
        <w:t>卖方</w:t>
      </w:r>
      <w:r>
        <w:rPr>
          <w:rFonts w:ascii="宋体" w:hAnsi="宋体"/>
          <w:color w:val="auto"/>
          <w:sz w:val="24"/>
          <w:szCs w:val="24"/>
          <w:highlight w:val="none"/>
        </w:rPr>
        <w:t>提供</w:t>
      </w:r>
      <w:r>
        <w:rPr>
          <w:rFonts w:hint="eastAsia" w:ascii="宋体" w:hAnsi="宋体"/>
          <w:color w:val="auto"/>
          <w:sz w:val="24"/>
          <w:szCs w:val="24"/>
          <w:highlight w:val="none"/>
        </w:rPr>
        <w:t>出厂</w:t>
      </w:r>
      <w:r>
        <w:rPr>
          <w:rFonts w:ascii="宋体" w:hAnsi="宋体"/>
          <w:color w:val="auto"/>
          <w:sz w:val="24"/>
          <w:szCs w:val="24"/>
          <w:highlight w:val="none"/>
        </w:rPr>
        <w:t>检测结果的正式文本。</w:t>
      </w:r>
      <w:r>
        <w:rPr>
          <w:rFonts w:hint="eastAsia" w:ascii="宋体" w:hAnsi="宋体"/>
          <w:color w:val="auto"/>
          <w:sz w:val="24"/>
          <w:szCs w:val="24"/>
          <w:highlight w:val="none"/>
        </w:rPr>
        <w:t>买卖双方签署预</w:t>
      </w:r>
      <w:r>
        <w:rPr>
          <w:rFonts w:ascii="宋体" w:hAnsi="宋体"/>
          <w:color w:val="auto"/>
          <w:sz w:val="24"/>
          <w:szCs w:val="24"/>
          <w:highlight w:val="none"/>
        </w:rPr>
        <w:t>验收合格</w:t>
      </w:r>
      <w:r>
        <w:rPr>
          <w:rFonts w:hint="eastAsia" w:ascii="宋体" w:hAnsi="宋体"/>
          <w:color w:val="auto"/>
          <w:sz w:val="24"/>
          <w:szCs w:val="24"/>
          <w:highlight w:val="none"/>
        </w:rPr>
        <w:t>报告后，设备</w:t>
      </w:r>
      <w:r>
        <w:rPr>
          <w:rFonts w:ascii="宋体" w:hAnsi="宋体"/>
          <w:color w:val="auto"/>
          <w:sz w:val="24"/>
          <w:szCs w:val="24"/>
          <w:highlight w:val="none"/>
        </w:rPr>
        <w:t>方可发货</w:t>
      </w:r>
      <w:r>
        <w:rPr>
          <w:rFonts w:hint="eastAsia" w:ascii="宋体" w:hAnsi="宋体"/>
          <w:color w:val="auto"/>
          <w:sz w:val="24"/>
          <w:szCs w:val="24"/>
          <w:highlight w:val="none"/>
        </w:rPr>
        <w:t>。</w:t>
      </w:r>
    </w:p>
    <w:p w14:paraId="45004091">
      <w:pPr>
        <w:spacing w:line="360" w:lineRule="auto"/>
        <w:ind w:left="158" w:leftChars="75"/>
        <w:rPr>
          <w:rFonts w:hint="eastAsia" w:ascii="宋体" w:hAnsi="宋体"/>
          <w:color w:val="auto"/>
          <w:sz w:val="24"/>
          <w:szCs w:val="24"/>
          <w:highlight w:val="none"/>
        </w:rPr>
      </w:pPr>
      <w:r>
        <w:rPr>
          <w:rFonts w:ascii="宋体" w:hAnsi="宋体"/>
          <w:color w:val="auto"/>
          <w:sz w:val="24"/>
          <w:szCs w:val="24"/>
          <w:highlight w:val="none"/>
        </w:rPr>
        <w:t>1.3 设备</w:t>
      </w:r>
      <w:r>
        <w:rPr>
          <w:rFonts w:hint="eastAsia" w:ascii="宋体" w:hAnsi="宋体"/>
          <w:color w:val="auto"/>
          <w:sz w:val="24"/>
          <w:szCs w:val="24"/>
          <w:highlight w:val="none"/>
        </w:rPr>
        <w:t>终</w:t>
      </w:r>
      <w:r>
        <w:rPr>
          <w:rFonts w:ascii="宋体" w:hAnsi="宋体"/>
          <w:color w:val="auto"/>
          <w:sz w:val="24"/>
          <w:szCs w:val="24"/>
          <w:highlight w:val="none"/>
        </w:rPr>
        <w:t>验收</w:t>
      </w:r>
      <w:r>
        <w:rPr>
          <w:rFonts w:hint="eastAsia" w:ascii="宋体" w:hAnsi="宋体"/>
          <w:color w:val="auto"/>
          <w:sz w:val="24"/>
          <w:szCs w:val="24"/>
          <w:highlight w:val="none"/>
        </w:rPr>
        <w:t>:</w:t>
      </w:r>
    </w:p>
    <w:p w14:paraId="35B9C30F">
      <w:pPr>
        <w:spacing w:line="360" w:lineRule="auto"/>
        <w:ind w:left="158" w:leftChars="75" w:firstLine="480" w:firstLineChars="200"/>
        <w:rPr>
          <w:rFonts w:hint="eastAsia" w:ascii="宋体" w:hAnsi="宋体"/>
          <w:color w:val="auto"/>
          <w:sz w:val="24"/>
          <w:szCs w:val="24"/>
          <w:highlight w:val="none"/>
        </w:rPr>
      </w:pPr>
      <w:r>
        <w:rPr>
          <w:rFonts w:ascii="宋体" w:hAnsi="宋体"/>
          <w:color w:val="auto"/>
          <w:sz w:val="24"/>
          <w:szCs w:val="24"/>
          <w:highlight w:val="none"/>
        </w:rPr>
        <w:t>设备的终验收在用户现场进行，</w:t>
      </w:r>
      <w:r>
        <w:rPr>
          <w:rFonts w:hint="eastAsia" w:ascii="宋体" w:hAnsi="宋体"/>
          <w:color w:val="auto"/>
          <w:sz w:val="24"/>
          <w:szCs w:val="24"/>
          <w:highlight w:val="none"/>
        </w:rPr>
        <w:t>在双方授权代表均在场的情况下按照现场验收方案逐项进行。</w:t>
      </w:r>
      <w:r>
        <w:rPr>
          <w:rFonts w:ascii="宋体" w:hAnsi="宋体"/>
          <w:color w:val="auto"/>
          <w:sz w:val="24"/>
          <w:szCs w:val="24"/>
          <w:highlight w:val="none"/>
        </w:rPr>
        <w:t>验收内容包括货物数量（按出厂清单）、外观质量、规格参数、设备</w:t>
      </w:r>
      <w:r>
        <w:rPr>
          <w:rFonts w:hint="eastAsia" w:ascii="宋体" w:hAnsi="宋体"/>
          <w:color w:val="auto"/>
          <w:sz w:val="24"/>
          <w:szCs w:val="24"/>
          <w:highlight w:val="none"/>
        </w:rPr>
        <w:t>性能</w:t>
      </w:r>
      <w:r>
        <w:rPr>
          <w:rFonts w:ascii="宋体" w:hAnsi="宋体"/>
          <w:color w:val="auto"/>
          <w:sz w:val="24"/>
          <w:szCs w:val="24"/>
          <w:highlight w:val="none"/>
        </w:rPr>
        <w:t>、附件和技术文件资料等内容。设备各项技术指标满足技术协议后，双方</w:t>
      </w:r>
      <w:r>
        <w:rPr>
          <w:rFonts w:hint="eastAsia" w:ascii="宋体" w:hAnsi="宋体"/>
          <w:color w:val="auto"/>
          <w:sz w:val="24"/>
          <w:szCs w:val="24"/>
          <w:highlight w:val="none"/>
        </w:rPr>
        <w:t>签署</w:t>
      </w:r>
      <w:r>
        <w:rPr>
          <w:rFonts w:ascii="宋体" w:hAnsi="宋体"/>
          <w:color w:val="auto"/>
          <w:sz w:val="24"/>
          <w:szCs w:val="24"/>
          <w:highlight w:val="none"/>
        </w:rPr>
        <w:t>最终验收</w:t>
      </w:r>
      <w:r>
        <w:rPr>
          <w:rFonts w:hint="eastAsia" w:ascii="宋体" w:hAnsi="宋体"/>
          <w:color w:val="auto"/>
          <w:sz w:val="24"/>
          <w:szCs w:val="24"/>
          <w:highlight w:val="none"/>
        </w:rPr>
        <w:t>报告。</w:t>
      </w:r>
    </w:p>
    <w:p w14:paraId="327CDBC2">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2、培训</w:t>
      </w:r>
    </w:p>
    <w:p w14:paraId="7B077BFD">
      <w:pPr>
        <w:spacing w:line="360" w:lineRule="auto"/>
        <w:ind w:left="158" w:leftChars="75"/>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1现场</w:t>
      </w:r>
      <w:r>
        <w:rPr>
          <w:rFonts w:ascii="宋体" w:hAnsi="宋体"/>
          <w:color w:val="auto"/>
          <w:sz w:val="24"/>
          <w:szCs w:val="24"/>
          <w:highlight w:val="none"/>
        </w:rPr>
        <w:t>人员培训</w:t>
      </w:r>
      <w:r>
        <w:rPr>
          <w:rFonts w:hint="eastAsia" w:ascii="宋体" w:hAnsi="宋体"/>
          <w:color w:val="auto"/>
          <w:sz w:val="24"/>
          <w:szCs w:val="24"/>
          <w:highlight w:val="none"/>
        </w:rPr>
        <w:t>:</w:t>
      </w:r>
    </w:p>
    <w:p w14:paraId="692C82EE">
      <w:pPr>
        <w:spacing w:line="360" w:lineRule="auto"/>
        <w:ind w:left="158" w:leftChars="75" w:firstLine="420"/>
        <w:rPr>
          <w:rFonts w:hint="eastAsia" w:ascii="宋体" w:hAnsi="宋体"/>
          <w:color w:val="auto"/>
          <w:sz w:val="24"/>
          <w:szCs w:val="24"/>
          <w:highlight w:val="none"/>
        </w:rPr>
      </w:pPr>
      <w:r>
        <w:rPr>
          <w:rFonts w:ascii="宋体" w:hAnsi="宋体"/>
          <w:color w:val="auto"/>
          <w:sz w:val="24"/>
          <w:szCs w:val="24"/>
          <w:highlight w:val="none"/>
        </w:rPr>
        <w:t>安装、调试后，</w:t>
      </w:r>
      <w:r>
        <w:rPr>
          <w:rFonts w:hint="eastAsia" w:ascii="宋体" w:hAnsi="宋体"/>
          <w:color w:val="auto"/>
          <w:sz w:val="24"/>
          <w:szCs w:val="24"/>
          <w:highlight w:val="none"/>
        </w:rPr>
        <w:t>卖方</w:t>
      </w:r>
      <w:r>
        <w:rPr>
          <w:rFonts w:ascii="宋体" w:hAnsi="宋体"/>
          <w:color w:val="auto"/>
          <w:sz w:val="24"/>
          <w:szCs w:val="24"/>
          <w:highlight w:val="none"/>
        </w:rPr>
        <w:t>负责免费培训，技术培训内容包括设备</w:t>
      </w:r>
      <w:r>
        <w:rPr>
          <w:rFonts w:hint="eastAsia" w:ascii="宋体" w:hAnsi="宋体"/>
          <w:color w:val="auto"/>
          <w:sz w:val="24"/>
          <w:szCs w:val="24"/>
          <w:highlight w:val="none"/>
        </w:rPr>
        <w:t>原理、</w:t>
      </w:r>
      <w:r>
        <w:rPr>
          <w:rFonts w:ascii="宋体" w:hAnsi="宋体"/>
          <w:color w:val="auto"/>
          <w:sz w:val="24"/>
          <w:szCs w:val="24"/>
          <w:highlight w:val="none"/>
        </w:rPr>
        <w:t>操作、</w:t>
      </w:r>
      <w:r>
        <w:rPr>
          <w:rFonts w:hint="eastAsia" w:ascii="宋体" w:hAnsi="宋体"/>
          <w:color w:val="auto"/>
          <w:sz w:val="24"/>
          <w:szCs w:val="24"/>
          <w:highlight w:val="none"/>
        </w:rPr>
        <w:t>保养、安全、</w:t>
      </w:r>
      <w:r>
        <w:rPr>
          <w:rFonts w:ascii="宋体" w:hAnsi="宋体"/>
          <w:color w:val="auto"/>
          <w:sz w:val="24"/>
          <w:szCs w:val="24"/>
          <w:highlight w:val="none"/>
        </w:rPr>
        <w:t>维修等</w:t>
      </w:r>
      <w:r>
        <w:rPr>
          <w:rFonts w:hint="eastAsia" w:ascii="宋体" w:hAnsi="宋体"/>
          <w:color w:val="auto"/>
          <w:sz w:val="24"/>
          <w:szCs w:val="24"/>
          <w:highlight w:val="none"/>
        </w:rPr>
        <w:t>方面</w:t>
      </w:r>
      <w:r>
        <w:rPr>
          <w:rFonts w:ascii="宋体" w:hAnsi="宋体"/>
          <w:color w:val="auto"/>
          <w:sz w:val="24"/>
          <w:szCs w:val="24"/>
          <w:highlight w:val="none"/>
        </w:rPr>
        <w:t>，培训须保证</w:t>
      </w:r>
      <w:r>
        <w:rPr>
          <w:rFonts w:hint="eastAsia" w:ascii="宋体" w:hAnsi="宋体"/>
          <w:color w:val="auto"/>
          <w:sz w:val="24"/>
          <w:szCs w:val="24"/>
          <w:highlight w:val="none"/>
        </w:rPr>
        <w:t>培训人员每个人</w:t>
      </w:r>
      <w:r>
        <w:rPr>
          <w:rFonts w:ascii="宋体" w:hAnsi="宋体"/>
          <w:color w:val="auto"/>
          <w:sz w:val="24"/>
          <w:szCs w:val="24"/>
          <w:highlight w:val="none"/>
        </w:rPr>
        <w:t>具备独立操作</w:t>
      </w:r>
      <w:r>
        <w:rPr>
          <w:rFonts w:hint="eastAsia" w:ascii="宋体" w:hAnsi="宋体"/>
          <w:color w:val="auto"/>
          <w:sz w:val="24"/>
          <w:szCs w:val="24"/>
          <w:highlight w:val="none"/>
        </w:rPr>
        <w:t>、维护保养及基本故障检测</w:t>
      </w:r>
      <w:r>
        <w:rPr>
          <w:rFonts w:ascii="宋体" w:hAnsi="宋体"/>
          <w:color w:val="auto"/>
          <w:sz w:val="24"/>
          <w:szCs w:val="24"/>
          <w:highlight w:val="none"/>
        </w:rPr>
        <w:t>的能力</w:t>
      </w:r>
      <w:r>
        <w:rPr>
          <w:rFonts w:hint="eastAsia" w:ascii="宋体" w:hAnsi="宋体"/>
          <w:color w:val="auto"/>
          <w:sz w:val="24"/>
          <w:szCs w:val="24"/>
          <w:highlight w:val="none"/>
        </w:rPr>
        <w:t>。</w:t>
      </w:r>
    </w:p>
    <w:p w14:paraId="1857387A">
      <w:pPr>
        <w:spacing w:line="360" w:lineRule="auto"/>
        <w:ind w:left="158" w:leftChars="75" w:firstLine="420"/>
        <w:rPr>
          <w:rFonts w:hint="eastAsia" w:ascii="宋体" w:hAnsi="宋体"/>
          <w:color w:val="auto"/>
          <w:sz w:val="24"/>
          <w:szCs w:val="24"/>
          <w:highlight w:val="none"/>
        </w:rPr>
      </w:pPr>
    </w:p>
    <w:p w14:paraId="6BA7E58F">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b/>
          <w:bCs/>
          <w:color w:val="auto"/>
          <w:sz w:val="24"/>
          <w:szCs w:val="24"/>
          <w:highlight w:val="none"/>
        </w:rPr>
      </w:pPr>
      <w:r>
        <w:rPr>
          <w:rFonts w:hint="eastAsia"/>
          <w:b/>
          <w:color w:val="auto"/>
          <w:sz w:val="24"/>
          <w:highlight w:val="none"/>
        </w:rPr>
        <w:t>（</w:t>
      </w:r>
      <w:r>
        <w:rPr>
          <w:rFonts w:hint="eastAsia"/>
          <w:b/>
          <w:color w:val="auto"/>
          <w:sz w:val="24"/>
          <w:highlight w:val="none"/>
          <w:lang w:val="en-US" w:eastAsia="zh-CN"/>
        </w:rPr>
        <w:t>五</w:t>
      </w:r>
      <w:r>
        <w:rPr>
          <w:rFonts w:hint="eastAsia"/>
          <w:b/>
          <w:color w:val="auto"/>
          <w:sz w:val="24"/>
          <w:highlight w:val="none"/>
        </w:rPr>
        <w:t>）</w:t>
      </w:r>
      <w:r>
        <w:rPr>
          <w:rFonts w:hint="eastAsia" w:ascii="宋体" w:hAnsi="宋体"/>
          <w:b/>
          <w:bCs/>
          <w:color w:val="auto"/>
          <w:sz w:val="24"/>
          <w:szCs w:val="24"/>
          <w:highlight w:val="none"/>
        </w:rPr>
        <w:t>设备运输、安装及调试</w:t>
      </w:r>
    </w:p>
    <w:p w14:paraId="231E9DE1">
      <w:pPr>
        <w:spacing w:line="360" w:lineRule="auto"/>
        <w:ind w:left="158" w:leftChars="75"/>
        <w:rPr>
          <w:rFonts w:hint="eastAsia" w:ascii="宋体" w:hAnsi="宋体"/>
          <w:color w:val="auto"/>
          <w:sz w:val="24"/>
          <w:szCs w:val="24"/>
          <w:highlight w:val="none"/>
          <w:u w:color="000000"/>
        </w:rPr>
      </w:pPr>
      <w:r>
        <w:rPr>
          <w:rFonts w:hint="eastAsia" w:ascii="宋体" w:hAnsi="宋体"/>
          <w:color w:val="auto"/>
          <w:sz w:val="24"/>
          <w:szCs w:val="24"/>
          <w:highlight w:val="none"/>
          <w:u w:color="000000"/>
        </w:rPr>
        <w:t>1、运输：</w:t>
      </w:r>
    </w:p>
    <w:p w14:paraId="689B8F30">
      <w:pPr>
        <w:spacing w:line="360" w:lineRule="auto"/>
        <w:ind w:left="158" w:leftChars="75" w:firstLine="420"/>
        <w:jc w:val="left"/>
        <w:rPr>
          <w:rFonts w:hint="eastAsia" w:ascii="宋体" w:hAnsi="宋体"/>
          <w:color w:val="auto"/>
          <w:sz w:val="24"/>
          <w:szCs w:val="24"/>
          <w:highlight w:val="none"/>
        </w:rPr>
      </w:pPr>
      <w:r>
        <w:rPr>
          <w:rFonts w:hint="eastAsia" w:ascii="宋体" w:hAnsi="宋体"/>
          <w:color w:val="auto"/>
          <w:sz w:val="24"/>
          <w:szCs w:val="24"/>
          <w:highlight w:val="none"/>
        </w:rPr>
        <w:t>无论在何种运输方式下，卖方包装应保证货物完好无锈蚀，安全运抵目的地。卖方应对由于包装不适当所招致的任何损坏和费用负责，包括卖方在包装时使用的不良包装或所采取的防护性措施不适当所造成的损失。如果卖方提供货物的包装采用木质材料，则应经过AQSIQ（中华人民共和国检验检疫局）认可的处理措施进行过处理，并由制造商经卖方国家或原产地植物认证机构认可后，对货物进行IPPC标志贴签。设备包装应复合中华人民共和国有关标准要求。包装材料必须坚固，能适应气候的变化，做到防震、防水、防蚀。应明确吊装要求，在装运过程中因包装质量造成的设备损失由卖方承担。</w:t>
      </w:r>
    </w:p>
    <w:p w14:paraId="32D10519">
      <w:pPr>
        <w:spacing w:line="360" w:lineRule="auto"/>
        <w:ind w:left="158" w:leftChars="75"/>
        <w:rPr>
          <w:rFonts w:hint="eastAsia" w:ascii="宋体" w:hAnsi="宋体"/>
          <w:color w:val="auto"/>
          <w:sz w:val="24"/>
          <w:szCs w:val="24"/>
          <w:highlight w:val="none"/>
          <w:u w:color="000000"/>
        </w:rPr>
      </w:pPr>
      <w:r>
        <w:rPr>
          <w:rFonts w:hint="eastAsia" w:ascii="宋体" w:hAnsi="宋体"/>
          <w:color w:val="auto"/>
          <w:sz w:val="24"/>
          <w:szCs w:val="24"/>
          <w:highlight w:val="none"/>
          <w:u w:color="000000"/>
        </w:rPr>
        <w:t>2、安装与调试：</w:t>
      </w:r>
    </w:p>
    <w:p w14:paraId="17BD4FB3">
      <w:pPr>
        <w:spacing w:line="360" w:lineRule="auto"/>
        <w:ind w:left="158" w:leftChars="75"/>
        <w:jc w:val="left"/>
        <w:rPr>
          <w:rFonts w:hint="eastAsia" w:ascii="宋体" w:hAnsi="宋体"/>
          <w:color w:val="auto"/>
          <w:sz w:val="24"/>
          <w:szCs w:val="24"/>
          <w:highlight w:val="none"/>
        </w:rPr>
      </w:pPr>
      <w:r>
        <w:rPr>
          <w:rFonts w:hint="eastAsia" w:ascii="宋体" w:hAnsi="宋体"/>
          <w:color w:val="auto"/>
          <w:sz w:val="24"/>
          <w:szCs w:val="24"/>
          <w:highlight w:val="none"/>
        </w:rPr>
        <w:t>2.1 卖方负责设备现场安装及调试服务，并承担相应的全部费用。卖方需派遣称职的技术人员到买方现场负责设备安装调试工作，并有责任解答买方技术人员提出的问题。</w:t>
      </w:r>
    </w:p>
    <w:p w14:paraId="54A741AB">
      <w:pPr>
        <w:spacing w:line="360" w:lineRule="auto"/>
        <w:ind w:left="158" w:leftChars="75"/>
        <w:jc w:val="left"/>
        <w:rPr>
          <w:rFonts w:hint="eastAsia" w:ascii="宋体" w:hAnsi="宋体"/>
          <w:color w:val="auto"/>
          <w:sz w:val="24"/>
          <w:szCs w:val="24"/>
          <w:highlight w:val="none"/>
        </w:rPr>
      </w:pPr>
      <w:r>
        <w:rPr>
          <w:rFonts w:hint="eastAsia" w:ascii="宋体" w:hAnsi="宋体"/>
          <w:color w:val="auto"/>
          <w:sz w:val="24"/>
          <w:szCs w:val="24"/>
          <w:highlight w:val="none"/>
        </w:rPr>
        <w:t>2.2 卖方应对安装和调试工作进行详细记录，安装和调试工作结束后，由卖方人员在安装调试记录文件上签字，并交买方备案。</w:t>
      </w:r>
    </w:p>
    <w:p w14:paraId="2F8F2D71">
      <w:pPr>
        <w:spacing w:line="360" w:lineRule="auto"/>
        <w:ind w:left="158" w:leftChars="75"/>
        <w:jc w:val="left"/>
        <w:rPr>
          <w:rFonts w:hint="eastAsia" w:ascii="宋体" w:hAnsi="宋体"/>
          <w:color w:val="auto"/>
          <w:sz w:val="24"/>
          <w:szCs w:val="24"/>
          <w:highlight w:val="none"/>
        </w:rPr>
      </w:pPr>
      <w:r>
        <w:rPr>
          <w:rFonts w:hint="eastAsia" w:ascii="宋体" w:hAnsi="宋体"/>
          <w:color w:val="auto"/>
          <w:sz w:val="24"/>
          <w:szCs w:val="24"/>
          <w:highlight w:val="none"/>
        </w:rPr>
        <w:t>2.3 卖方人员在进行用户现场安装、调试与验收时，需遵守买方的现场作业规章制度。</w:t>
      </w:r>
    </w:p>
    <w:p w14:paraId="22CF063E">
      <w:pPr>
        <w:spacing w:line="360" w:lineRule="auto"/>
        <w:ind w:left="158" w:leftChars="75"/>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4</w:t>
      </w:r>
      <w:r>
        <w:rPr>
          <w:rFonts w:hint="eastAsia" w:ascii="宋体" w:hAnsi="宋体"/>
          <w:color w:val="auto"/>
          <w:sz w:val="24"/>
          <w:szCs w:val="24"/>
          <w:highlight w:val="none"/>
        </w:rPr>
        <w:t xml:space="preserve"> 安装、调试、培训及质保费用计入投标总价。</w:t>
      </w:r>
    </w:p>
    <w:p w14:paraId="7B2F4938">
      <w:pPr>
        <w:spacing w:line="360" w:lineRule="auto"/>
        <w:ind w:left="158" w:leftChars="75"/>
        <w:jc w:val="left"/>
        <w:rPr>
          <w:rFonts w:hint="eastAsia" w:ascii="宋体" w:hAnsi="宋体" w:cs="Adobe Grotesk"/>
          <w:b/>
          <w:color w:val="auto"/>
          <w:sz w:val="24"/>
          <w:szCs w:val="24"/>
          <w:highlight w:val="none"/>
        </w:rPr>
      </w:pPr>
    </w:p>
    <w:p w14:paraId="349F6A3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b/>
          <w:bCs/>
          <w:color w:val="auto"/>
          <w:sz w:val="24"/>
          <w:szCs w:val="24"/>
          <w:highlight w:val="none"/>
        </w:rPr>
      </w:pPr>
      <w:r>
        <w:rPr>
          <w:rFonts w:hint="eastAsia"/>
          <w:b/>
          <w:color w:val="auto"/>
          <w:sz w:val="24"/>
          <w:highlight w:val="none"/>
        </w:rPr>
        <w:t>（</w:t>
      </w:r>
      <w:r>
        <w:rPr>
          <w:rFonts w:hint="eastAsia"/>
          <w:b/>
          <w:color w:val="auto"/>
          <w:sz w:val="24"/>
          <w:highlight w:val="none"/>
          <w:lang w:val="en-US" w:eastAsia="zh-CN"/>
        </w:rPr>
        <w:t>六</w:t>
      </w:r>
      <w:r>
        <w:rPr>
          <w:rFonts w:hint="eastAsia"/>
          <w:b/>
          <w:color w:val="auto"/>
          <w:sz w:val="24"/>
          <w:highlight w:val="none"/>
        </w:rPr>
        <w:t>）</w:t>
      </w:r>
      <w:r>
        <w:rPr>
          <w:rFonts w:hint="eastAsia" w:ascii="宋体" w:hAnsi="宋体"/>
          <w:b/>
          <w:bCs/>
          <w:color w:val="auto"/>
          <w:sz w:val="24"/>
          <w:szCs w:val="24"/>
          <w:highlight w:val="none"/>
        </w:rPr>
        <w:t>供货范围</w:t>
      </w:r>
    </w:p>
    <w:tbl>
      <w:tblPr>
        <w:tblStyle w:val="3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8"/>
        <w:gridCol w:w="3252"/>
        <w:gridCol w:w="3402"/>
      </w:tblGrid>
      <w:tr w14:paraId="64CB1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right w:val="single" w:color="auto" w:sz="4" w:space="0"/>
            </w:tcBorders>
            <w:vAlign w:val="center"/>
          </w:tcPr>
          <w:p w14:paraId="62BB46AD">
            <w:pPr>
              <w:pStyle w:val="4"/>
              <w:snapToGrid w:val="0"/>
              <w:spacing w:line="360" w:lineRule="auto"/>
              <w:ind w:firstLine="0"/>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3252" w:type="dxa"/>
            <w:tcBorders>
              <w:left w:val="single" w:color="auto" w:sz="4" w:space="0"/>
            </w:tcBorders>
            <w:vAlign w:val="center"/>
          </w:tcPr>
          <w:p w14:paraId="4593549B">
            <w:pPr>
              <w:pStyle w:val="4"/>
              <w:snapToGrid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交货清单</w:t>
            </w:r>
          </w:p>
        </w:tc>
        <w:tc>
          <w:tcPr>
            <w:tcW w:w="3402" w:type="dxa"/>
            <w:vAlign w:val="center"/>
          </w:tcPr>
          <w:p w14:paraId="40219E84">
            <w:pPr>
              <w:pStyle w:val="4"/>
              <w:snapToGrid w:val="0"/>
              <w:spacing w:line="360" w:lineRule="auto"/>
              <w:ind w:firstLine="0"/>
              <w:jc w:val="center"/>
              <w:rPr>
                <w:rFonts w:hint="eastAsia" w:ascii="宋体" w:hAnsi="宋体"/>
                <w:color w:val="auto"/>
                <w:sz w:val="24"/>
                <w:szCs w:val="24"/>
                <w:highlight w:val="none"/>
              </w:rPr>
            </w:pPr>
            <w:r>
              <w:rPr>
                <w:rFonts w:ascii="宋体" w:hAnsi="宋体"/>
                <w:color w:val="auto"/>
                <w:sz w:val="24"/>
                <w:szCs w:val="24"/>
                <w:highlight w:val="none"/>
              </w:rPr>
              <w:t>数量</w:t>
            </w:r>
            <w:r>
              <w:rPr>
                <w:rFonts w:hint="eastAsia" w:ascii="宋体" w:hAnsi="宋体"/>
                <w:color w:val="auto"/>
                <w:sz w:val="24"/>
                <w:szCs w:val="24"/>
                <w:highlight w:val="none"/>
              </w:rPr>
              <w:t>（台/套）</w:t>
            </w:r>
          </w:p>
        </w:tc>
      </w:tr>
      <w:tr w14:paraId="01F9E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right w:val="single" w:color="auto" w:sz="4" w:space="0"/>
            </w:tcBorders>
            <w:vAlign w:val="center"/>
          </w:tcPr>
          <w:p w14:paraId="5D44396A">
            <w:pPr>
              <w:pStyle w:val="4"/>
              <w:numPr>
                <w:ilvl w:val="0"/>
                <w:numId w:val="3"/>
              </w:numPr>
              <w:snapToGrid w:val="0"/>
              <w:spacing w:line="360" w:lineRule="auto"/>
              <w:ind w:left="578"/>
              <w:jc w:val="center"/>
              <w:rPr>
                <w:rFonts w:hint="eastAsia" w:ascii="宋体" w:hAnsi="宋体"/>
                <w:color w:val="auto"/>
                <w:sz w:val="24"/>
                <w:szCs w:val="24"/>
                <w:highlight w:val="none"/>
              </w:rPr>
            </w:pPr>
          </w:p>
        </w:tc>
        <w:tc>
          <w:tcPr>
            <w:tcW w:w="3252" w:type="dxa"/>
            <w:tcBorders>
              <w:left w:val="single" w:color="auto" w:sz="4" w:space="0"/>
            </w:tcBorders>
          </w:tcPr>
          <w:p w14:paraId="1D5B8594">
            <w:pPr>
              <w:spacing w:line="360" w:lineRule="auto"/>
              <w:rPr>
                <w:rFonts w:hint="eastAsia" w:ascii="宋体" w:hAnsi="宋体"/>
                <w:color w:val="auto"/>
                <w:sz w:val="24"/>
                <w:szCs w:val="24"/>
                <w:highlight w:val="none"/>
              </w:rPr>
            </w:pPr>
            <w:r>
              <w:rPr>
                <w:rFonts w:hint="eastAsia" w:ascii="宋体" w:hAnsi="宋体" w:cs="宋体"/>
                <w:color w:val="auto"/>
                <w:sz w:val="24"/>
                <w:szCs w:val="24"/>
                <w:highlight w:val="none"/>
              </w:rPr>
              <w:t>晶圆光刻机</w:t>
            </w:r>
          </w:p>
        </w:tc>
        <w:tc>
          <w:tcPr>
            <w:tcW w:w="3402" w:type="dxa"/>
            <w:vAlign w:val="center"/>
          </w:tcPr>
          <w:p w14:paraId="5B205216">
            <w:pPr>
              <w:pStyle w:val="4"/>
              <w:snapToGrid w:val="0"/>
              <w:spacing w:line="360" w:lineRule="auto"/>
              <w:ind w:firstLine="0"/>
              <w:jc w:val="center"/>
              <w:rPr>
                <w:rFonts w:hint="eastAsia" w:ascii="宋体" w:hAnsi="宋体"/>
                <w:color w:val="auto"/>
                <w:sz w:val="24"/>
                <w:szCs w:val="24"/>
                <w:highlight w:val="none"/>
              </w:rPr>
            </w:pPr>
            <w:r>
              <w:rPr>
                <w:rFonts w:ascii="宋体" w:hAnsi="宋体"/>
                <w:color w:val="auto"/>
                <w:sz w:val="24"/>
                <w:szCs w:val="24"/>
                <w:highlight w:val="none"/>
              </w:rPr>
              <w:t>1</w:t>
            </w:r>
          </w:p>
        </w:tc>
      </w:tr>
      <w:tr w14:paraId="786B8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right w:val="single" w:color="auto" w:sz="4" w:space="0"/>
            </w:tcBorders>
            <w:vAlign w:val="center"/>
          </w:tcPr>
          <w:p w14:paraId="6C5B9115">
            <w:pPr>
              <w:pStyle w:val="4"/>
              <w:numPr>
                <w:ilvl w:val="0"/>
                <w:numId w:val="3"/>
              </w:numPr>
              <w:snapToGrid w:val="0"/>
              <w:spacing w:line="360" w:lineRule="auto"/>
              <w:ind w:left="578"/>
              <w:jc w:val="center"/>
              <w:rPr>
                <w:rFonts w:hint="eastAsia" w:ascii="宋体" w:hAnsi="宋体"/>
                <w:color w:val="auto"/>
                <w:sz w:val="24"/>
                <w:szCs w:val="24"/>
                <w:highlight w:val="none"/>
              </w:rPr>
            </w:pPr>
          </w:p>
        </w:tc>
        <w:tc>
          <w:tcPr>
            <w:tcW w:w="3252" w:type="dxa"/>
            <w:tcBorders>
              <w:left w:val="single" w:color="auto" w:sz="4" w:space="0"/>
            </w:tcBorders>
            <w:vAlign w:val="center"/>
          </w:tcPr>
          <w:p w14:paraId="0FD9CCFE">
            <w:pPr>
              <w:pStyle w:val="4"/>
              <w:snapToGrid w:val="0"/>
              <w:spacing w:line="360" w:lineRule="auto"/>
              <w:ind w:firstLine="0"/>
              <w:rPr>
                <w:rFonts w:hint="eastAsia" w:ascii="宋体" w:hAnsi="宋体"/>
                <w:color w:val="auto"/>
                <w:sz w:val="24"/>
                <w:szCs w:val="24"/>
                <w:highlight w:val="none"/>
              </w:rPr>
            </w:pPr>
            <w:r>
              <w:rPr>
                <w:rFonts w:hint="eastAsia" w:ascii="宋体" w:hAnsi="宋体"/>
                <w:color w:val="auto"/>
                <w:sz w:val="24"/>
                <w:szCs w:val="24"/>
                <w:highlight w:val="none"/>
              </w:rPr>
              <w:t>维护保养配件及消耗品</w:t>
            </w:r>
          </w:p>
        </w:tc>
        <w:tc>
          <w:tcPr>
            <w:tcW w:w="3402" w:type="dxa"/>
            <w:vAlign w:val="center"/>
          </w:tcPr>
          <w:p w14:paraId="3199E824">
            <w:pPr>
              <w:pStyle w:val="4"/>
              <w:snapToGrid w:val="0"/>
              <w:spacing w:line="360" w:lineRule="auto"/>
              <w:ind w:firstLine="0"/>
              <w:jc w:val="center"/>
              <w:rPr>
                <w:rFonts w:hint="eastAsia" w:ascii="宋体" w:hAnsi="宋体"/>
                <w:color w:val="auto"/>
                <w:sz w:val="24"/>
                <w:szCs w:val="24"/>
                <w:highlight w:val="none"/>
              </w:rPr>
            </w:pPr>
            <w:r>
              <w:rPr>
                <w:rFonts w:hint="eastAsia" w:ascii="宋体" w:hAnsi="宋体"/>
                <w:color w:val="auto"/>
                <w:sz w:val="24"/>
                <w:szCs w:val="24"/>
                <w:highlight w:val="none"/>
              </w:rPr>
              <w:t>1</w:t>
            </w:r>
          </w:p>
        </w:tc>
      </w:tr>
      <w:tr w14:paraId="38A4C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right w:val="single" w:color="auto" w:sz="4" w:space="0"/>
            </w:tcBorders>
            <w:vAlign w:val="center"/>
          </w:tcPr>
          <w:p w14:paraId="50E44E61">
            <w:pPr>
              <w:pStyle w:val="4"/>
              <w:numPr>
                <w:ilvl w:val="0"/>
                <w:numId w:val="3"/>
              </w:numPr>
              <w:snapToGrid w:val="0"/>
              <w:spacing w:line="360" w:lineRule="auto"/>
              <w:ind w:left="578"/>
              <w:jc w:val="center"/>
              <w:rPr>
                <w:rFonts w:hint="eastAsia" w:ascii="宋体" w:hAnsi="宋体"/>
                <w:color w:val="auto"/>
                <w:sz w:val="24"/>
                <w:szCs w:val="24"/>
                <w:highlight w:val="none"/>
              </w:rPr>
            </w:pPr>
          </w:p>
        </w:tc>
        <w:tc>
          <w:tcPr>
            <w:tcW w:w="3252" w:type="dxa"/>
            <w:tcBorders>
              <w:left w:val="single" w:color="auto" w:sz="4" w:space="0"/>
            </w:tcBorders>
            <w:vAlign w:val="center"/>
          </w:tcPr>
          <w:p w14:paraId="619FB122">
            <w:pPr>
              <w:pStyle w:val="4"/>
              <w:snapToGrid w:val="0"/>
              <w:spacing w:line="360" w:lineRule="auto"/>
              <w:ind w:firstLine="0"/>
              <w:rPr>
                <w:rFonts w:hint="eastAsia" w:ascii="宋体" w:hAnsi="宋体"/>
                <w:color w:val="auto"/>
                <w:sz w:val="24"/>
                <w:szCs w:val="24"/>
                <w:highlight w:val="none"/>
              </w:rPr>
            </w:pPr>
            <w:r>
              <w:rPr>
                <w:rFonts w:ascii="宋体" w:hAnsi="宋体"/>
                <w:color w:val="auto"/>
                <w:sz w:val="24"/>
                <w:szCs w:val="24"/>
                <w:highlight w:val="none"/>
              </w:rPr>
              <w:t>安装培训</w:t>
            </w:r>
          </w:p>
        </w:tc>
        <w:tc>
          <w:tcPr>
            <w:tcW w:w="3402" w:type="dxa"/>
            <w:vAlign w:val="center"/>
          </w:tcPr>
          <w:p w14:paraId="465B53A5">
            <w:pPr>
              <w:pStyle w:val="4"/>
              <w:snapToGrid w:val="0"/>
              <w:spacing w:line="360" w:lineRule="auto"/>
              <w:ind w:firstLine="0"/>
              <w:jc w:val="center"/>
              <w:rPr>
                <w:rFonts w:hint="eastAsia" w:ascii="宋体" w:hAnsi="宋体"/>
                <w:color w:val="auto"/>
                <w:sz w:val="24"/>
                <w:szCs w:val="24"/>
                <w:highlight w:val="none"/>
              </w:rPr>
            </w:pPr>
            <w:r>
              <w:rPr>
                <w:rFonts w:ascii="宋体" w:hAnsi="宋体"/>
                <w:color w:val="auto"/>
                <w:sz w:val="24"/>
                <w:szCs w:val="24"/>
                <w:highlight w:val="none"/>
              </w:rPr>
              <w:t>包含</w:t>
            </w:r>
          </w:p>
        </w:tc>
      </w:tr>
      <w:tr w14:paraId="1B98C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right w:val="single" w:color="auto" w:sz="4" w:space="0"/>
            </w:tcBorders>
            <w:vAlign w:val="center"/>
          </w:tcPr>
          <w:p w14:paraId="24C64380">
            <w:pPr>
              <w:pStyle w:val="4"/>
              <w:numPr>
                <w:ilvl w:val="0"/>
                <w:numId w:val="3"/>
              </w:numPr>
              <w:snapToGrid w:val="0"/>
              <w:spacing w:line="360" w:lineRule="auto"/>
              <w:ind w:left="578"/>
              <w:jc w:val="center"/>
              <w:rPr>
                <w:rFonts w:hint="eastAsia" w:ascii="宋体" w:hAnsi="宋体"/>
                <w:color w:val="auto"/>
                <w:sz w:val="24"/>
                <w:szCs w:val="24"/>
                <w:highlight w:val="none"/>
              </w:rPr>
            </w:pPr>
          </w:p>
        </w:tc>
        <w:tc>
          <w:tcPr>
            <w:tcW w:w="3252" w:type="dxa"/>
            <w:tcBorders>
              <w:left w:val="single" w:color="auto" w:sz="4" w:space="0"/>
            </w:tcBorders>
            <w:vAlign w:val="center"/>
          </w:tcPr>
          <w:p w14:paraId="651846E9">
            <w:pPr>
              <w:pStyle w:val="4"/>
              <w:snapToGrid w:val="0"/>
              <w:spacing w:line="360" w:lineRule="auto"/>
              <w:ind w:firstLine="0"/>
              <w:rPr>
                <w:rFonts w:hint="eastAsia" w:ascii="宋体" w:hAnsi="宋体"/>
                <w:color w:val="auto"/>
                <w:sz w:val="24"/>
                <w:szCs w:val="24"/>
                <w:highlight w:val="none"/>
              </w:rPr>
            </w:pPr>
            <w:r>
              <w:rPr>
                <w:rFonts w:ascii="宋体" w:hAnsi="宋体"/>
                <w:color w:val="auto"/>
                <w:sz w:val="24"/>
                <w:szCs w:val="24"/>
                <w:highlight w:val="none"/>
              </w:rPr>
              <w:t>产品操作手册</w:t>
            </w:r>
          </w:p>
        </w:tc>
        <w:tc>
          <w:tcPr>
            <w:tcW w:w="3402" w:type="dxa"/>
            <w:vAlign w:val="center"/>
          </w:tcPr>
          <w:p w14:paraId="6F65486F">
            <w:pPr>
              <w:pStyle w:val="4"/>
              <w:snapToGrid w:val="0"/>
              <w:spacing w:line="360" w:lineRule="auto"/>
              <w:ind w:firstLine="0"/>
              <w:jc w:val="center"/>
              <w:rPr>
                <w:rFonts w:hint="eastAsia" w:ascii="宋体" w:hAnsi="宋体"/>
                <w:color w:val="auto"/>
                <w:sz w:val="24"/>
                <w:szCs w:val="24"/>
                <w:highlight w:val="none"/>
              </w:rPr>
            </w:pPr>
            <w:r>
              <w:rPr>
                <w:rFonts w:hint="eastAsia" w:ascii="宋体" w:hAnsi="宋体"/>
                <w:color w:val="auto"/>
                <w:sz w:val="24"/>
                <w:szCs w:val="24"/>
                <w:highlight w:val="none"/>
              </w:rPr>
              <w:t>1套洁净纸版和1套</w:t>
            </w:r>
            <w:r>
              <w:rPr>
                <w:rFonts w:ascii="宋体" w:hAnsi="宋体"/>
                <w:color w:val="auto"/>
                <w:sz w:val="24"/>
                <w:szCs w:val="24"/>
                <w:highlight w:val="none"/>
              </w:rPr>
              <w:t>电子版</w:t>
            </w:r>
          </w:p>
        </w:tc>
      </w:tr>
      <w:tr w14:paraId="7BBDA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right w:val="single" w:color="auto" w:sz="4" w:space="0"/>
            </w:tcBorders>
            <w:vAlign w:val="center"/>
          </w:tcPr>
          <w:p w14:paraId="4FA9EE46">
            <w:pPr>
              <w:pStyle w:val="4"/>
              <w:numPr>
                <w:ilvl w:val="0"/>
                <w:numId w:val="3"/>
              </w:numPr>
              <w:snapToGrid w:val="0"/>
              <w:spacing w:line="360" w:lineRule="auto"/>
              <w:jc w:val="center"/>
              <w:rPr>
                <w:rFonts w:hint="eastAsia" w:ascii="宋体" w:hAnsi="宋体"/>
                <w:color w:val="auto"/>
                <w:sz w:val="24"/>
                <w:szCs w:val="24"/>
                <w:highlight w:val="none"/>
              </w:rPr>
            </w:pPr>
          </w:p>
        </w:tc>
        <w:tc>
          <w:tcPr>
            <w:tcW w:w="3252" w:type="dxa"/>
            <w:tcBorders>
              <w:left w:val="single" w:color="auto" w:sz="4" w:space="0"/>
            </w:tcBorders>
            <w:vAlign w:val="center"/>
          </w:tcPr>
          <w:p w14:paraId="4526C34E">
            <w:pPr>
              <w:pStyle w:val="4"/>
              <w:snapToGrid w:val="0"/>
              <w:spacing w:line="360" w:lineRule="auto"/>
              <w:ind w:firstLine="0"/>
              <w:rPr>
                <w:rFonts w:hint="eastAsia" w:ascii="宋体" w:hAnsi="宋体"/>
                <w:color w:val="auto"/>
                <w:sz w:val="24"/>
                <w:szCs w:val="24"/>
                <w:highlight w:val="none"/>
              </w:rPr>
            </w:pPr>
            <w:r>
              <w:rPr>
                <w:rFonts w:hint="eastAsia" w:ascii="宋体" w:hAnsi="宋体"/>
                <w:color w:val="auto"/>
                <w:sz w:val="24"/>
                <w:szCs w:val="24"/>
                <w:highlight w:val="none"/>
              </w:rPr>
              <w:t>标准校验光罩</w:t>
            </w:r>
          </w:p>
        </w:tc>
        <w:tc>
          <w:tcPr>
            <w:tcW w:w="3402" w:type="dxa"/>
            <w:vAlign w:val="center"/>
          </w:tcPr>
          <w:p w14:paraId="7B1F52EF">
            <w:pPr>
              <w:pStyle w:val="4"/>
              <w:snapToGrid w:val="0"/>
              <w:spacing w:line="360" w:lineRule="auto"/>
              <w:ind w:firstLine="0"/>
              <w:jc w:val="center"/>
              <w:rPr>
                <w:rFonts w:hint="eastAsia" w:ascii="宋体" w:hAnsi="宋体"/>
                <w:color w:val="auto"/>
                <w:sz w:val="24"/>
                <w:szCs w:val="24"/>
                <w:highlight w:val="none"/>
              </w:rPr>
            </w:pPr>
            <w:r>
              <w:rPr>
                <w:rFonts w:hint="eastAsia" w:ascii="宋体" w:hAnsi="宋体"/>
                <w:color w:val="auto"/>
                <w:sz w:val="24"/>
                <w:szCs w:val="24"/>
                <w:highlight w:val="none"/>
              </w:rPr>
              <w:t>1套（需至少具备聚集精度测试,漏光检查，镜头精度测试，日常维护等全套校验功能）</w:t>
            </w:r>
          </w:p>
        </w:tc>
      </w:tr>
      <w:tr w14:paraId="10BCB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right w:val="single" w:color="auto" w:sz="4" w:space="0"/>
            </w:tcBorders>
            <w:vAlign w:val="center"/>
          </w:tcPr>
          <w:p w14:paraId="35867AFB">
            <w:pPr>
              <w:pStyle w:val="4"/>
              <w:numPr>
                <w:ilvl w:val="0"/>
                <w:numId w:val="3"/>
              </w:numPr>
              <w:snapToGrid w:val="0"/>
              <w:spacing w:line="360" w:lineRule="auto"/>
              <w:jc w:val="center"/>
              <w:rPr>
                <w:rFonts w:hint="eastAsia" w:ascii="宋体" w:hAnsi="宋体"/>
                <w:color w:val="auto"/>
                <w:sz w:val="24"/>
                <w:szCs w:val="24"/>
                <w:highlight w:val="none"/>
              </w:rPr>
            </w:pPr>
          </w:p>
        </w:tc>
        <w:tc>
          <w:tcPr>
            <w:tcW w:w="3252" w:type="dxa"/>
            <w:tcBorders>
              <w:left w:val="single" w:color="auto" w:sz="4" w:space="0"/>
            </w:tcBorders>
            <w:vAlign w:val="center"/>
          </w:tcPr>
          <w:p w14:paraId="0328C308">
            <w:pPr>
              <w:pStyle w:val="4"/>
              <w:snapToGrid w:val="0"/>
              <w:spacing w:line="360" w:lineRule="auto"/>
              <w:ind w:firstLine="0"/>
              <w:rPr>
                <w:rFonts w:hint="eastAsia" w:ascii="宋体" w:hAnsi="宋体"/>
                <w:color w:val="auto"/>
                <w:sz w:val="24"/>
                <w:szCs w:val="24"/>
                <w:highlight w:val="none"/>
              </w:rPr>
            </w:pPr>
            <w:r>
              <w:rPr>
                <w:rFonts w:hint="eastAsia" w:ascii="宋体" w:hAnsi="宋体"/>
                <w:color w:val="auto"/>
                <w:sz w:val="24"/>
                <w:szCs w:val="24"/>
                <w:highlight w:val="none"/>
              </w:rPr>
              <w:t>原厂维保工具</w:t>
            </w:r>
          </w:p>
        </w:tc>
        <w:tc>
          <w:tcPr>
            <w:tcW w:w="3402" w:type="dxa"/>
            <w:vAlign w:val="center"/>
          </w:tcPr>
          <w:p w14:paraId="4DCEC732">
            <w:pPr>
              <w:pStyle w:val="4"/>
              <w:snapToGrid w:val="0"/>
              <w:spacing w:line="360" w:lineRule="auto"/>
              <w:ind w:firstLine="0"/>
              <w:jc w:val="center"/>
              <w:rPr>
                <w:rFonts w:hint="eastAsia" w:ascii="宋体" w:hAnsi="宋体"/>
                <w:color w:val="auto"/>
                <w:sz w:val="24"/>
                <w:szCs w:val="24"/>
                <w:highlight w:val="none"/>
              </w:rPr>
            </w:pPr>
            <w:r>
              <w:rPr>
                <w:rFonts w:hint="eastAsia" w:ascii="宋体" w:hAnsi="宋体"/>
                <w:color w:val="auto"/>
                <w:sz w:val="24"/>
                <w:szCs w:val="24"/>
                <w:highlight w:val="none"/>
              </w:rPr>
              <w:t>1</w:t>
            </w:r>
          </w:p>
        </w:tc>
      </w:tr>
    </w:tbl>
    <w:p w14:paraId="7050E68C">
      <w:pPr>
        <w:spacing w:line="360" w:lineRule="auto"/>
        <w:rPr>
          <w:rFonts w:hint="eastAsia"/>
          <w:color w:val="auto"/>
          <w:sz w:val="24"/>
          <w:highlight w:val="none"/>
        </w:rPr>
      </w:pPr>
    </w:p>
    <w:p w14:paraId="32DD5226">
      <w:pPr>
        <w:spacing w:line="360" w:lineRule="auto"/>
        <w:rPr>
          <w:rFonts w:hint="eastAsia"/>
          <w:b/>
          <w:color w:val="auto"/>
          <w:sz w:val="24"/>
          <w:highlight w:val="none"/>
        </w:rPr>
      </w:pPr>
      <w:r>
        <w:rPr>
          <w:rFonts w:hint="eastAsia"/>
          <w:b/>
          <w:color w:val="auto"/>
          <w:sz w:val="24"/>
          <w:highlight w:val="none"/>
        </w:rPr>
        <w:t>（</w:t>
      </w:r>
      <w:r>
        <w:rPr>
          <w:rFonts w:hint="eastAsia"/>
          <w:b/>
          <w:color w:val="auto"/>
          <w:sz w:val="24"/>
          <w:highlight w:val="none"/>
          <w:lang w:val="en-US" w:eastAsia="zh-CN"/>
        </w:rPr>
        <w:t>七</w:t>
      </w:r>
      <w:r>
        <w:rPr>
          <w:rFonts w:hint="eastAsia"/>
          <w:b/>
          <w:color w:val="auto"/>
          <w:sz w:val="24"/>
          <w:highlight w:val="none"/>
        </w:rPr>
        <w:t>）交货日期和交货地点（项目现场）：</w:t>
      </w:r>
    </w:p>
    <w:p w14:paraId="2383E681">
      <w:pPr>
        <w:spacing w:line="360" w:lineRule="auto"/>
        <w:ind w:left="158" w:leftChars="75" w:firstLine="240" w:firstLineChars="100"/>
        <w:jc w:val="left"/>
        <w:rPr>
          <w:rFonts w:hint="eastAsia" w:ascii="宋体" w:hAnsi="宋体"/>
          <w:color w:val="auto"/>
          <w:sz w:val="24"/>
          <w:szCs w:val="24"/>
          <w:highlight w:val="none"/>
        </w:rPr>
      </w:pPr>
      <w:r>
        <w:rPr>
          <w:rFonts w:hint="eastAsia" w:ascii="宋体" w:hAnsi="宋体"/>
          <w:color w:val="auto"/>
          <w:sz w:val="24"/>
          <w:szCs w:val="24"/>
          <w:highlight w:val="none"/>
        </w:rPr>
        <w:t>交货期：合同签订后</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个月内。</w:t>
      </w:r>
    </w:p>
    <w:p w14:paraId="78AE702A">
      <w:pPr>
        <w:spacing w:line="360" w:lineRule="auto"/>
        <w:ind w:left="158" w:leftChars="75" w:firstLine="240" w:firstLineChars="100"/>
        <w:jc w:val="left"/>
        <w:rPr>
          <w:rFonts w:hint="eastAsia" w:ascii="宋体" w:hAnsi="宋体"/>
          <w:color w:val="auto"/>
          <w:sz w:val="24"/>
          <w:szCs w:val="24"/>
          <w:highlight w:val="none"/>
        </w:rPr>
      </w:pPr>
      <w:r>
        <w:rPr>
          <w:rFonts w:hint="eastAsia" w:ascii="宋体" w:hAnsi="宋体"/>
          <w:color w:val="auto"/>
          <w:sz w:val="24"/>
          <w:szCs w:val="24"/>
          <w:highlight w:val="none"/>
        </w:rPr>
        <w:t>交货地点：上海用户项目使用现场。</w:t>
      </w:r>
    </w:p>
    <w:p w14:paraId="2C39C417">
      <w:pPr>
        <w:spacing w:line="360" w:lineRule="auto"/>
        <w:rPr>
          <w:rFonts w:hint="eastAsia"/>
          <w:color w:val="auto"/>
          <w:sz w:val="24"/>
          <w:highlight w:val="none"/>
        </w:rPr>
      </w:pPr>
      <w:r>
        <w:rPr>
          <w:rFonts w:hint="eastAsia"/>
          <w:color w:val="auto"/>
          <w:sz w:val="24"/>
          <w:highlight w:val="none"/>
        </w:rPr>
        <w:t xml:space="preserve"> </w:t>
      </w:r>
    </w:p>
    <w:p w14:paraId="1338048D">
      <w:pPr>
        <w:spacing w:line="360" w:lineRule="auto"/>
        <w:rPr>
          <w:rFonts w:hint="eastAsia"/>
          <w:color w:val="auto"/>
          <w:sz w:val="24"/>
          <w:highlight w:val="none"/>
        </w:rPr>
      </w:pPr>
      <w:r>
        <w:rPr>
          <w:rFonts w:hint="eastAsia"/>
          <w:color w:val="auto"/>
          <w:sz w:val="24"/>
          <w:highlight w:val="none"/>
        </w:rPr>
        <w:t>★</w:t>
      </w:r>
      <w:r>
        <w:rPr>
          <w:rFonts w:hint="eastAsia"/>
          <w:b/>
          <w:bCs/>
          <w:color w:val="auto"/>
          <w:sz w:val="24"/>
          <w:highlight w:val="none"/>
        </w:rPr>
        <w:t xml:space="preserve">（五）付款方式： </w:t>
      </w:r>
      <w:r>
        <w:rPr>
          <w:rFonts w:hint="eastAsia"/>
          <w:color w:val="auto"/>
          <w:sz w:val="24"/>
          <w:highlight w:val="none"/>
        </w:rPr>
        <w:t xml:space="preserve">                                        </w:t>
      </w:r>
    </w:p>
    <w:p w14:paraId="0A3ACA81">
      <w:pPr>
        <w:spacing w:line="360" w:lineRule="auto"/>
        <w:ind w:left="158" w:leftChars="75" w:firstLine="240" w:firstLineChars="1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合同签订且甲方项目经费到位后，收到乙方提供的等额预付款保函后，甲方支付30%合同款给乙方（保函有效期至交货日，交货日以交货单上乙方签字为准）；</w:t>
      </w:r>
    </w:p>
    <w:p w14:paraId="0C775BE2">
      <w:pPr>
        <w:spacing w:line="360" w:lineRule="auto"/>
        <w:ind w:left="158" w:leftChars="75" w:firstLine="240" w:firstLineChars="1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设备运输到甲方指定地点，拆箱检查无误后，凭装箱单、出厂验收报告、现场签收凭证，且甲方项目经费到位后，甲方支付40%合同款给乙方；</w:t>
      </w:r>
    </w:p>
    <w:p w14:paraId="5A0C963C">
      <w:pPr>
        <w:spacing w:line="360" w:lineRule="auto"/>
        <w:ind w:left="158" w:leftChars="75" w:firstLine="240" w:firstLineChars="1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设备到货验收合格后，甲方支付30%合同款给乙方，乙方在收到全部合同款后30天内开具100%合同款发票给甲方。</w:t>
      </w:r>
    </w:p>
    <w:p w14:paraId="7365F00A">
      <w:pPr>
        <w:pStyle w:val="14"/>
        <w:rPr>
          <w:color w:val="auto"/>
          <w:highlight w:val="none"/>
        </w:rPr>
      </w:pPr>
    </w:p>
    <w:p w14:paraId="1637EFF1">
      <w:pPr>
        <w:spacing w:line="360" w:lineRule="auto"/>
        <w:rPr>
          <w:rFonts w:hint="eastAsia"/>
          <w:b/>
          <w:color w:val="auto"/>
          <w:sz w:val="24"/>
          <w:highlight w:val="none"/>
        </w:rPr>
      </w:pPr>
      <w:r>
        <w:rPr>
          <w:rFonts w:hint="eastAsia"/>
          <w:b/>
          <w:color w:val="auto"/>
          <w:sz w:val="24"/>
          <w:highlight w:val="none"/>
        </w:rPr>
        <w:t>（六）执行的相关标准</w:t>
      </w:r>
    </w:p>
    <w:p w14:paraId="3511AAF6">
      <w:pPr>
        <w:spacing w:line="360" w:lineRule="auto"/>
        <w:ind w:firstLine="480" w:firstLineChars="200"/>
        <w:rPr>
          <w:rFonts w:hint="eastAsia" w:ascii="inherit" w:hAnsi="inherit" w:cs="宋体"/>
          <w:color w:val="auto"/>
          <w:kern w:val="0"/>
          <w:sz w:val="24"/>
          <w:highlight w:val="none"/>
        </w:rPr>
      </w:pPr>
      <w:r>
        <w:rPr>
          <w:rFonts w:hint="eastAsia" w:ascii="inherit" w:hAnsi="inherit" w:cs="宋体"/>
          <w:color w:val="auto"/>
          <w:kern w:val="0"/>
          <w:sz w:val="24"/>
          <w:highlight w:val="none"/>
        </w:rPr>
        <w:t>产品应满足相关国家标准及行业标准。</w:t>
      </w:r>
    </w:p>
    <w:p w14:paraId="7AC32BB4">
      <w:pPr>
        <w:adjustRightInd w:val="0"/>
        <w:snapToGrid w:val="0"/>
        <w:spacing w:after="156" w:afterLines="50" w:line="360" w:lineRule="auto"/>
        <w:jc w:val="center"/>
        <w:outlineLvl w:val="0"/>
        <w:rPr>
          <w:rFonts w:hint="eastAsia" w:ascii="黑体" w:eastAsia="黑体"/>
          <w:b/>
          <w:color w:val="auto"/>
          <w:kern w:val="44"/>
          <w:sz w:val="48"/>
          <w:szCs w:val="20"/>
          <w:highlight w:val="none"/>
        </w:rPr>
      </w:pPr>
    </w:p>
    <w:p w14:paraId="198F5C63">
      <w:pPr>
        <w:widowControl/>
        <w:spacing w:line="360" w:lineRule="atLeast"/>
        <w:rPr>
          <w:rFonts w:hint="eastAsia" w:ascii="宋体" w:hAnsi="宋体"/>
          <w:b/>
          <w:color w:val="auto"/>
          <w:sz w:val="30"/>
          <w:szCs w:val="30"/>
          <w:highlight w:val="none"/>
        </w:rPr>
      </w:pPr>
    </w:p>
    <w:sectPr>
      <w:headerReference r:id="rId3" w:type="first"/>
      <w:footerReference r:id="rId5" w:type="first"/>
      <w:footerReference r:id="rId4"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auto"/>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Bold">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swiss"/>
    <w:pitch w:val="default"/>
    <w:sig w:usb0="00000000" w:usb1="00000000" w:usb2="00000000" w:usb3="00000000" w:csb0="00000001" w:csb1="00000000"/>
  </w:font>
  <w:font w:name="DejaVuSans">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FZSONGS--GB1-5">
    <w:altName w:val="Segoe Print"/>
    <w:panose1 w:val="00000000000000000000"/>
    <w:charset w:val="00"/>
    <w:family w:val="auto"/>
    <w:pitch w:val="default"/>
    <w:sig w:usb0="00000000" w:usb1="00000000" w:usb2="00000000" w:usb3="00000000" w:csb0="00040001" w:csb1="00000000"/>
  </w:font>
  <w:font w:name="time of new roman">
    <w:altName w:val="Times New Roman"/>
    <w:panose1 w:val="00000000000000000000"/>
    <w:charset w:val="00"/>
    <w:family w:val="roman"/>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Adobe Grotesk">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CD86D">
    <w:pPr>
      <w:pStyle w:val="25"/>
      <w:jc w:val="center"/>
    </w:pPr>
    <w:r>
      <w:fldChar w:fldCharType="begin"/>
    </w:r>
    <w:r>
      <w:instrText xml:space="preserve">PAGE   \* MERGEFORMAT</w:instrText>
    </w:r>
    <w:r>
      <w:fldChar w:fldCharType="separate"/>
    </w:r>
    <w:r>
      <w:rPr>
        <w:lang w:val="zh-CN"/>
      </w:rPr>
      <w:t>86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F313B">
    <w:pPr>
      <w:pStyle w:val="25"/>
      <w:jc w:val="center"/>
    </w:pPr>
    <w:r>
      <w:fldChar w:fldCharType="begin"/>
    </w:r>
    <w:r>
      <w:instrText xml:space="preserve">PAGE   \* MERGEFORMAT</w:instrText>
    </w:r>
    <w:r>
      <w:fldChar w:fldCharType="separate"/>
    </w:r>
    <w:r>
      <w:rPr>
        <w:lang w:val="zh-CN"/>
      </w:rPr>
      <w:t>62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14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5B104"/>
    <w:multiLevelType w:val="singleLevel"/>
    <w:tmpl w:val="D785B104"/>
    <w:lvl w:ilvl="0" w:tentative="0">
      <w:start w:val="1"/>
      <w:numFmt w:val="chineseCounting"/>
      <w:suff w:val="nothing"/>
      <w:lvlText w:val="（%1）"/>
      <w:lvlJc w:val="left"/>
      <w:rPr>
        <w:rFonts w:hint="eastAsia"/>
      </w:rPr>
    </w:lvl>
  </w:abstractNum>
  <w:abstractNum w:abstractNumId="1">
    <w:nsid w:val="256C4E5B"/>
    <w:multiLevelType w:val="multilevel"/>
    <w:tmpl w:val="256C4E5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4DD648D4"/>
    <w:multiLevelType w:val="multilevel"/>
    <w:tmpl w:val="4DD648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ODBlYzc0NjRkMTZiZDAzOTQwZmVlNGQ5MmQwMDMifQ=="/>
  </w:docVars>
  <w:rsids>
    <w:rsidRoot w:val="00FA3835"/>
    <w:rsid w:val="000050A2"/>
    <w:rsid w:val="00017CDA"/>
    <w:rsid w:val="00027C8D"/>
    <w:rsid w:val="00040005"/>
    <w:rsid w:val="000543E7"/>
    <w:rsid w:val="0006010D"/>
    <w:rsid w:val="000668DC"/>
    <w:rsid w:val="00081ADD"/>
    <w:rsid w:val="000969BB"/>
    <w:rsid w:val="000973D2"/>
    <w:rsid w:val="000B12EC"/>
    <w:rsid w:val="000B636A"/>
    <w:rsid w:val="000C1F98"/>
    <w:rsid w:val="000C325D"/>
    <w:rsid w:val="000C505C"/>
    <w:rsid w:val="000D1A3C"/>
    <w:rsid w:val="000E0B0C"/>
    <w:rsid w:val="000E17D4"/>
    <w:rsid w:val="000E4DA9"/>
    <w:rsid w:val="000F0512"/>
    <w:rsid w:val="000F4571"/>
    <w:rsid w:val="00103352"/>
    <w:rsid w:val="00105333"/>
    <w:rsid w:val="00107AF4"/>
    <w:rsid w:val="001140D0"/>
    <w:rsid w:val="001235CA"/>
    <w:rsid w:val="00130EDF"/>
    <w:rsid w:val="00136F3B"/>
    <w:rsid w:val="00137D93"/>
    <w:rsid w:val="00141D35"/>
    <w:rsid w:val="001437EA"/>
    <w:rsid w:val="001444BD"/>
    <w:rsid w:val="00144505"/>
    <w:rsid w:val="00144DDA"/>
    <w:rsid w:val="0014761F"/>
    <w:rsid w:val="00153F11"/>
    <w:rsid w:val="00154444"/>
    <w:rsid w:val="00154F47"/>
    <w:rsid w:val="00155A34"/>
    <w:rsid w:val="00164E27"/>
    <w:rsid w:val="0018672D"/>
    <w:rsid w:val="001921CA"/>
    <w:rsid w:val="00194900"/>
    <w:rsid w:val="001A0E56"/>
    <w:rsid w:val="001A6E63"/>
    <w:rsid w:val="001B195C"/>
    <w:rsid w:val="001B62CC"/>
    <w:rsid w:val="001B66E1"/>
    <w:rsid w:val="001B6E57"/>
    <w:rsid w:val="001C22AC"/>
    <w:rsid w:val="001D7301"/>
    <w:rsid w:val="001E1467"/>
    <w:rsid w:val="001E152C"/>
    <w:rsid w:val="001E3480"/>
    <w:rsid w:val="001F18B7"/>
    <w:rsid w:val="001F1D2B"/>
    <w:rsid w:val="001F5FAD"/>
    <w:rsid w:val="001F79B6"/>
    <w:rsid w:val="002024C7"/>
    <w:rsid w:val="00206639"/>
    <w:rsid w:val="00206D30"/>
    <w:rsid w:val="0021259E"/>
    <w:rsid w:val="00213C28"/>
    <w:rsid w:val="00224FE7"/>
    <w:rsid w:val="0023232E"/>
    <w:rsid w:val="00233C8A"/>
    <w:rsid w:val="00240E7B"/>
    <w:rsid w:val="00247ED0"/>
    <w:rsid w:val="00251DB7"/>
    <w:rsid w:val="002630C9"/>
    <w:rsid w:val="002672D1"/>
    <w:rsid w:val="00275598"/>
    <w:rsid w:val="002761A3"/>
    <w:rsid w:val="0028124D"/>
    <w:rsid w:val="00282A80"/>
    <w:rsid w:val="00282F14"/>
    <w:rsid w:val="002872A9"/>
    <w:rsid w:val="00292E0B"/>
    <w:rsid w:val="002B44BD"/>
    <w:rsid w:val="002B6E7A"/>
    <w:rsid w:val="002B7380"/>
    <w:rsid w:val="002C47B5"/>
    <w:rsid w:val="002D5C47"/>
    <w:rsid w:val="002D6107"/>
    <w:rsid w:val="002E03AA"/>
    <w:rsid w:val="002E34AD"/>
    <w:rsid w:val="002E6A76"/>
    <w:rsid w:val="002F1704"/>
    <w:rsid w:val="002F6DE0"/>
    <w:rsid w:val="002F6FCA"/>
    <w:rsid w:val="002F7EF8"/>
    <w:rsid w:val="002F7F80"/>
    <w:rsid w:val="00301191"/>
    <w:rsid w:val="00322611"/>
    <w:rsid w:val="003248D5"/>
    <w:rsid w:val="00326D72"/>
    <w:rsid w:val="0033189B"/>
    <w:rsid w:val="00334AA9"/>
    <w:rsid w:val="003442AE"/>
    <w:rsid w:val="0034443A"/>
    <w:rsid w:val="003474B8"/>
    <w:rsid w:val="00351CB8"/>
    <w:rsid w:val="00353E66"/>
    <w:rsid w:val="00357C16"/>
    <w:rsid w:val="003637C6"/>
    <w:rsid w:val="003732CC"/>
    <w:rsid w:val="00373B63"/>
    <w:rsid w:val="00374F9A"/>
    <w:rsid w:val="00382C0C"/>
    <w:rsid w:val="003944C7"/>
    <w:rsid w:val="00397F24"/>
    <w:rsid w:val="003A298A"/>
    <w:rsid w:val="003B4F45"/>
    <w:rsid w:val="003B6193"/>
    <w:rsid w:val="003C172D"/>
    <w:rsid w:val="003C7092"/>
    <w:rsid w:val="003C785A"/>
    <w:rsid w:val="003D2B81"/>
    <w:rsid w:val="003F5F7A"/>
    <w:rsid w:val="004043A2"/>
    <w:rsid w:val="00404EA5"/>
    <w:rsid w:val="00415144"/>
    <w:rsid w:val="00420D92"/>
    <w:rsid w:val="00421F2C"/>
    <w:rsid w:val="0042297A"/>
    <w:rsid w:val="00433C0B"/>
    <w:rsid w:val="004362C7"/>
    <w:rsid w:val="0044106E"/>
    <w:rsid w:val="00446E68"/>
    <w:rsid w:val="00447503"/>
    <w:rsid w:val="00457522"/>
    <w:rsid w:val="0046038A"/>
    <w:rsid w:val="00471176"/>
    <w:rsid w:val="00484FF8"/>
    <w:rsid w:val="004A0EB1"/>
    <w:rsid w:val="004A3B49"/>
    <w:rsid w:val="004A5C14"/>
    <w:rsid w:val="004B3476"/>
    <w:rsid w:val="004B36B8"/>
    <w:rsid w:val="004C387C"/>
    <w:rsid w:val="004D0AB9"/>
    <w:rsid w:val="004E042A"/>
    <w:rsid w:val="004E4504"/>
    <w:rsid w:val="004F0FDE"/>
    <w:rsid w:val="004F191B"/>
    <w:rsid w:val="004F3E07"/>
    <w:rsid w:val="005023D6"/>
    <w:rsid w:val="00504FD3"/>
    <w:rsid w:val="00512882"/>
    <w:rsid w:val="005143FF"/>
    <w:rsid w:val="00516FEB"/>
    <w:rsid w:val="005244F5"/>
    <w:rsid w:val="00524665"/>
    <w:rsid w:val="00543C0A"/>
    <w:rsid w:val="0054699B"/>
    <w:rsid w:val="00546BA1"/>
    <w:rsid w:val="005515EB"/>
    <w:rsid w:val="0055226E"/>
    <w:rsid w:val="00552E7C"/>
    <w:rsid w:val="005601D0"/>
    <w:rsid w:val="00560FEA"/>
    <w:rsid w:val="005613B2"/>
    <w:rsid w:val="0056304A"/>
    <w:rsid w:val="0057066D"/>
    <w:rsid w:val="00572671"/>
    <w:rsid w:val="00591688"/>
    <w:rsid w:val="005916DF"/>
    <w:rsid w:val="00595627"/>
    <w:rsid w:val="00595D3F"/>
    <w:rsid w:val="00595EAC"/>
    <w:rsid w:val="005A2F5B"/>
    <w:rsid w:val="005A52D6"/>
    <w:rsid w:val="005C574A"/>
    <w:rsid w:val="005D09A0"/>
    <w:rsid w:val="005D479D"/>
    <w:rsid w:val="005E416B"/>
    <w:rsid w:val="005E7A21"/>
    <w:rsid w:val="005F24B2"/>
    <w:rsid w:val="0060103A"/>
    <w:rsid w:val="00602911"/>
    <w:rsid w:val="00602A7A"/>
    <w:rsid w:val="0060509A"/>
    <w:rsid w:val="006125F5"/>
    <w:rsid w:val="00612A9B"/>
    <w:rsid w:val="00614D00"/>
    <w:rsid w:val="0061681D"/>
    <w:rsid w:val="006225E2"/>
    <w:rsid w:val="0062676A"/>
    <w:rsid w:val="00640DB1"/>
    <w:rsid w:val="006416E9"/>
    <w:rsid w:val="0064545D"/>
    <w:rsid w:val="00646C82"/>
    <w:rsid w:val="00647CD5"/>
    <w:rsid w:val="006548A6"/>
    <w:rsid w:val="00655478"/>
    <w:rsid w:val="00664D7F"/>
    <w:rsid w:val="00673641"/>
    <w:rsid w:val="006858B6"/>
    <w:rsid w:val="0069730F"/>
    <w:rsid w:val="006A377B"/>
    <w:rsid w:val="006B0930"/>
    <w:rsid w:val="006C4384"/>
    <w:rsid w:val="006C5135"/>
    <w:rsid w:val="006C546E"/>
    <w:rsid w:val="006D29F2"/>
    <w:rsid w:val="006E2DE0"/>
    <w:rsid w:val="006E5A8E"/>
    <w:rsid w:val="0070081C"/>
    <w:rsid w:val="0071653B"/>
    <w:rsid w:val="00721985"/>
    <w:rsid w:val="00724C84"/>
    <w:rsid w:val="007252A8"/>
    <w:rsid w:val="00725C0A"/>
    <w:rsid w:val="0073119D"/>
    <w:rsid w:val="0073199C"/>
    <w:rsid w:val="007376B0"/>
    <w:rsid w:val="00740508"/>
    <w:rsid w:val="00743776"/>
    <w:rsid w:val="00751428"/>
    <w:rsid w:val="00752FEF"/>
    <w:rsid w:val="0075674B"/>
    <w:rsid w:val="00761F2B"/>
    <w:rsid w:val="00763B74"/>
    <w:rsid w:val="007731D0"/>
    <w:rsid w:val="00775B16"/>
    <w:rsid w:val="00785A0A"/>
    <w:rsid w:val="00787CED"/>
    <w:rsid w:val="007967F8"/>
    <w:rsid w:val="007A3772"/>
    <w:rsid w:val="007B6DFC"/>
    <w:rsid w:val="007C2696"/>
    <w:rsid w:val="007C4C31"/>
    <w:rsid w:val="007C5EA5"/>
    <w:rsid w:val="007D381E"/>
    <w:rsid w:val="007D3EE2"/>
    <w:rsid w:val="007E03CA"/>
    <w:rsid w:val="007E6193"/>
    <w:rsid w:val="007F2F97"/>
    <w:rsid w:val="007F30CC"/>
    <w:rsid w:val="007F387D"/>
    <w:rsid w:val="007F7152"/>
    <w:rsid w:val="008156CB"/>
    <w:rsid w:val="008203E6"/>
    <w:rsid w:val="00822633"/>
    <w:rsid w:val="00830107"/>
    <w:rsid w:val="00831B02"/>
    <w:rsid w:val="00833174"/>
    <w:rsid w:val="00835158"/>
    <w:rsid w:val="00846609"/>
    <w:rsid w:val="00852958"/>
    <w:rsid w:val="0085467F"/>
    <w:rsid w:val="00864F77"/>
    <w:rsid w:val="008661F8"/>
    <w:rsid w:val="008712FA"/>
    <w:rsid w:val="00876AA9"/>
    <w:rsid w:val="00876EFF"/>
    <w:rsid w:val="00882892"/>
    <w:rsid w:val="00883AB2"/>
    <w:rsid w:val="008861B2"/>
    <w:rsid w:val="00887A5A"/>
    <w:rsid w:val="00896377"/>
    <w:rsid w:val="008A09F5"/>
    <w:rsid w:val="008A4B18"/>
    <w:rsid w:val="008A738C"/>
    <w:rsid w:val="008B2645"/>
    <w:rsid w:val="008C20FE"/>
    <w:rsid w:val="008C36D3"/>
    <w:rsid w:val="008D0675"/>
    <w:rsid w:val="008D1425"/>
    <w:rsid w:val="008D2736"/>
    <w:rsid w:val="008D3BC8"/>
    <w:rsid w:val="008D6F23"/>
    <w:rsid w:val="008E5EB5"/>
    <w:rsid w:val="008F04C7"/>
    <w:rsid w:val="008F21A5"/>
    <w:rsid w:val="008F2440"/>
    <w:rsid w:val="00914619"/>
    <w:rsid w:val="009202C8"/>
    <w:rsid w:val="009246BA"/>
    <w:rsid w:val="00930CDE"/>
    <w:rsid w:val="00935AA1"/>
    <w:rsid w:val="009451DC"/>
    <w:rsid w:val="009467F2"/>
    <w:rsid w:val="0095655E"/>
    <w:rsid w:val="00956752"/>
    <w:rsid w:val="00966DE4"/>
    <w:rsid w:val="009718ED"/>
    <w:rsid w:val="0097297B"/>
    <w:rsid w:val="0098154C"/>
    <w:rsid w:val="0098549E"/>
    <w:rsid w:val="009857EF"/>
    <w:rsid w:val="009941D8"/>
    <w:rsid w:val="009A2C18"/>
    <w:rsid w:val="009B36A1"/>
    <w:rsid w:val="009C0A0B"/>
    <w:rsid w:val="009C14BD"/>
    <w:rsid w:val="009D1AF8"/>
    <w:rsid w:val="009D32B1"/>
    <w:rsid w:val="009E1C84"/>
    <w:rsid w:val="009E32D4"/>
    <w:rsid w:val="009E4080"/>
    <w:rsid w:val="009E4DCB"/>
    <w:rsid w:val="009E580F"/>
    <w:rsid w:val="009F5A6A"/>
    <w:rsid w:val="00A01B3A"/>
    <w:rsid w:val="00A0205F"/>
    <w:rsid w:val="00A04E9D"/>
    <w:rsid w:val="00A06893"/>
    <w:rsid w:val="00A14987"/>
    <w:rsid w:val="00A21886"/>
    <w:rsid w:val="00A25682"/>
    <w:rsid w:val="00A2638C"/>
    <w:rsid w:val="00A27417"/>
    <w:rsid w:val="00A27AFD"/>
    <w:rsid w:val="00A354A8"/>
    <w:rsid w:val="00A4031E"/>
    <w:rsid w:val="00A44A2B"/>
    <w:rsid w:val="00A46F60"/>
    <w:rsid w:val="00A53234"/>
    <w:rsid w:val="00A56F9C"/>
    <w:rsid w:val="00A57F47"/>
    <w:rsid w:val="00A8225A"/>
    <w:rsid w:val="00AA029F"/>
    <w:rsid w:val="00AA7A0D"/>
    <w:rsid w:val="00AB113B"/>
    <w:rsid w:val="00AD2FD2"/>
    <w:rsid w:val="00AD41E6"/>
    <w:rsid w:val="00AD4ECF"/>
    <w:rsid w:val="00AD70C8"/>
    <w:rsid w:val="00AE094D"/>
    <w:rsid w:val="00AF6067"/>
    <w:rsid w:val="00B04039"/>
    <w:rsid w:val="00B07AAD"/>
    <w:rsid w:val="00B15273"/>
    <w:rsid w:val="00B16887"/>
    <w:rsid w:val="00B1746F"/>
    <w:rsid w:val="00B27A2B"/>
    <w:rsid w:val="00B31F00"/>
    <w:rsid w:val="00B351A2"/>
    <w:rsid w:val="00B41959"/>
    <w:rsid w:val="00B42C18"/>
    <w:rsid w:val="00B43CF7"/>
    <w:rsid w:val="00B44327"/>
    <w:rsid w:val="00B53944"/>
    <w:rsid w:val="00B61FDD"/>
    <w:rsid w:val="00B758E7"/>
    <w:rsid w:val="00B75B80"/>
    <w:rsid w:val="00B81149"/>
    <w:rsid w:val="00B8672D"/>
    <w:rsid w:val="00B94FB1"/>
    <w:rsid w:val="00BC7FBC"/>
    <w:rsid w:val="00BD11D6"/>
    <w:rsid w:val="00BD2A3B"/>
    <w:rsid w:val="00BD646D"/>
    <w:rsid w:val="00BD6A33"/>
    <w:rsid w:val="00BD7ED0"/>
    <w:rsid w:val="00BE5E06"/>
    <w:rsid w:val="00BE643E"/>
    <w:rsid w:val="00BE7CED"/>
    <w:rsid w:val="00BF59BF"/>
    <w:rsid w:val="00C056B5"/>
    <w:rsid w:val="00C10630"/>
    <w:rsid w:val="00C12939"/>
    <w:rsid w:val="00C14E3B"/>
    <w:rsid w:val="00C23BA4"/>
    <w:rsid w:val="00C241B2"/>
    <w:rsid w:val="00C24609"/>
    <w:rsid w:val="00C27A10"/>
    <w:rsid w:val="00C34485"/>
    <w:rsid w:val="00C40AB3"/>
    <w:rsid w:val="00C43805"/>
    <w:rsid w:val="00C43E24"/>
    <w:rsid w:val="00C45235"/>
    <w:rsid w:val="00C54174"/>
    <w:rsid w:val="00C60EF2"/>
    <w:rsid w:val="00C615B2"/>
    <w:rsid w:val="00C702F0"/>
    <w:rsid w:val="00C74553"/>
    <w:rsid w:val="00C8112C"/>
    <w:rsid w:val="00C84C38"/>
    <w:rsid w:val="00C87EF4"/>
    <w:rsid w:val="00CA0EA5"/>
    <w:rsid w:val="00CA623E"/>
    <w:rsid w:val="00CA630F"/>
    <w:rsid w:val="00CB4EB2"/>
    <w:rsid w:val="00CB7A41"/>
    <w:rsid w:val="00CC50EC"/>
    <w:rsid w:val="00CC7A0B"/>
    <w:rsid w:val="00CD0A52"/>
    <w:rsid w:val="00CD0EEF"/>
    <w:rsid w:val="00CD64CD"/>
    <w:rsid w:val="00CE2041"/>
    <w:rsid w:val="00CE3059"/>
    <w:rsid w:val="00CE4960"/>
    <w:rsid w:val="00CE56FA"/>
    <w:rsid w:val="00CE5B6F"/>
    <w:rsid w:val="00CF0912"/>
    <w:rsid w:val="00D0060C"/>
    <w:rsid w:val="00D027B8"/>
    <w:rsid w:val="00D04134"/>
    <w:rsid w:val="00D0571C"/>
    <w:rsid w:val="00D0679B"/>
    <w:rsid w:val="00D11879"/>
    <w:rsid w:val="00D12547"/>
    <w:rsid w:val="00D22D44"/>
    <w:rsid w:val="00D378BA"/>
    <w:rsid w:val="00D40668"/>
    <w:rsid w:val="00D60794"/>
    <w:rsid w:val="00D6263A"/>
    <w:rsid w:val="00D6312E"/>
    <w:rsid w:val="00D75701"/>
    <w:rsid w:val="00D778D7"/>
    <w:rsid w:val="00D80BB4"/>
    <w:rsid w:val="00D83934"/>
    <w:rsid w:val="00D861C3"/>
    <w:rsid w:val="00D862C1"/>
    <w:rsid w:val="00D91A0C"/>
    <w:rsid w:val="00D9239C"/>
    <w:rsid w:val="00D95955"/>
    <w:rsid w:val="00D979AB"/>
    <w:rsid w:val="00DA590C"/>
    <w:rsid w:val="00DA703D"/>
    <w:rsid w:val="00DB54CF"/>
    <w:rsid w:val="00DC1546"/>
    <w:rsid w:val="00DD2172"/>
    <w:rsid w:val="00DD4A09"/>
    <w:rsid w:val="00DD4C25"/>
    <w:rsid w:val="00DD6A1F"/>
    <w:rsid w:val="00DE4C00"/>
    <w:rsid w:val="00DE5C67"/>
    <w:rsid w:val="00DF2449"/>
    <w:rsid w:val="00DF7ACF"/>
    <w:rsid w:val="00E004CA"/>
    <w:rsid w:val="00E03391"/>
    <w:rsid w:val="00E0373B"/>
    <w:rsid w:val="00E07308"/>
    <w:rsid w:val="00E14474"/>
    <w:rsid w:val="00E179B5"/>
    <w:rsid w:val="00E26286"/>
    <w:rsid w:val="00E30AC2"/>
    <w:rsid w:val="00E33D84"/>
    <w:rsid w:val="00E34813"/>
    <w:rsid w:val="00E356D2"/>
    <w:rsid w:val="00E401B3"/>
    <w:rsid w:val="00E458DA"/>
    <w:rsid w:val="00E5687E"/>
    <w:rsid w:val="00E639CC"/>
    <w:rsid w:val="00E63D5B"/>
    <w:rsid w:val="00E671AD"/>
    <w:rsid w:val="00E83E40"/>
    <w:rsid w:val="00E857B8"/>
    <w:rsid w:val="00E907E5"/>
    <w:rsid w:val="00E943B8"/>
    <w:rsid w:val="00EA11F7"/>
    <w:rsid w:val="00EA20B9"/>
    <w:rsid w:val="00EA4549"/>
    <w:rsid w:val="00ED0B37"/>
    <w:rsid w:val="00ED22DF"/>
    <w:rsid w:val="00ED4C66"/>
    <w:rsid w:val="00ED6781"/>
    <w:rsid w:val="00EE4BD8"/>
    <w:rsid w:val="00EF3685"/>
    <w:rsid w:val="00EF5BA0"/>
    <w:rsid w:val="00F13600"/>
    <w:rsid w:val="00F15FC0"/>
    <w:rsid w:val="00F17042"/>
    <w:rsid w:val="00F175D1"/>
    <w:rsid w:val="00F21DA9"/>
    <w:rsid w:val="00F22A75"/>
    <w:rsid w:val="00F3059E"/>
    <w:rsid w:val="00F30C1E"/>
    <w:rsid w:val="00F3185D"/>
    <w:rsid w:val="00F35217"/>
    <w:rsid w:val="00F35C50"/>
    <w:rsid w:val="00F37B8F"/>
    <w:rsid w:val="00F42D68"/>
    <w:rsid w:val="00F436FE"/>
    <w:rsid w:val="00F500D2"/>
    <w:rsid w:val="00F51A9D"/>
    <w:rsid w:val="00F56311"/>
    <w:rsid w:val="00F57792"/>
    <w:rsid w:val="00F60048"/>
    <w:rsid w:val="00F6185A"/>
    <w:rsid w:val="00F73FE2"/>
    <w:rsid w:val="00F74944"/>
    <w:rsid w:val="00F8497C"/>
    <w:rsid w:val="00F91E41"/>
    <w:rsid w:val="00FA238D"/>
    <w:rsid w:val="00FA3835"/>
    <w:rsid w:val="00FA6816"/>
    <w:rsid w:val="00FB5D79"/>
    <w:rsid w:val="00FE3D91"/>
    <w:rsid w:val="00FE55D2"/>
    <w:rsid w:val="00FF5179"/>
    <w:rsid w:val="00FF728E"/>
    <w:rsid w:val="020B291A"/>
    <w:rsid w:val="03A95914"/>
    <w:rsid w:val="051B3A05"/>
    <w:rsid w:val="053E2C54"/>
    <w:rsid w:val="06B56F46"/>
    <w:rsid w:val="06F02823"/>
    <w:rsid w:val="0762073E"/>
    <w:rsid w:val="09120680"/>
    <w:rsid w:val="09A45050"/>
    <w:rsid w:val="09FA1199"/>
    <w:rsid w:val="0A5B05D9"/>
    <w:rsid w:val="0ADF594B"/>
    <w:rsid w:val="0AE0030A"/>
    <w:rsid w:val="0BA90827"/>
    <w:rsid w:val="0C721436"/>
    <w:rsid w:val="0D515D8F"/>
    <w:rsid w:val="0D531E47"/>
    <w:rsid w:val="0D6B0DE4"/>
    <w:rsid w:val="0D8A6F81"/>
    <w:rsid w:val="0E39045D"/>
    <w:rsid w:val="0E936CC2"/>
    <w:rsid w:val="0EE967FA"/>
    <w:rsid w:val="0F4075C9"/>
    <w:rsid w:val="0F4672D5"/>
    <w:rsid w:val="0F4E40DD"/>
    <w:rsid w:val="0F6F4465"/>
    <w:rsid w:val="10A2678D"/>
    <w:rsid w:val="10E279BE"/>
    <w:rsid w:val="110031E2"/>
    <w:rsid w:val="122264FF"/>
    <w:rsid w:val="122E6778"/>
    <w:rsid w:val="124949E7"/>
    <w:rsid w:val="128B5428"/>
    <w:rsid w:val="13285904"/>
    <w:rsid w:val="13465DF0"/>
    <w:rsid w:val="137920C0"/>
    <w:rsid w:val="139D57EB"/>
    <w:rsid w:val="13DC5838"/>
    <w:rsid w:val="15D708BB"/>
    <w:rsid w:val="15F52619"/>
    <w:rsid w:val="17C2005C"/>
    <w:rsid w:val="17CB6513"/>
    <w:rsid w:val="17E30CEE"/>
    <w:rsid w:val="185D6BC0"/>
    <w:rsid w:val="19643147"/>
    <w:rsid w:val="199030D2"/>
    <w:rsid w:val="19AE7309"/>
    <w:rsid w:val="1A18361C"/>
    <w:rsid w:val="1A902BB0"/>
    <w:rsid w:val="1B5D5479"/>
    <w:rsid w:val="1B9E3D36"/>
    <w:rsid w:val="1BBA3A2F"/>
    <w:rsid w:val="1C686EB5"/>
    <w:rsid w:val="1C746B04"/>
    <w:rsid w:val="1C8F2A04"/>
    <w:rsid w:val="1D8B6157"/>
    <w:rsid w:val="20365C75"/>
    <w:rsid w:val="206D21A3"/>
    <w:rsid w:val="20863AF3"/>
    <w:rsid w:val="20FD3BD3"/>
    <w:rsid w:val="218B2C39"/>
    <w:rsid w:val="22597BF6"/>
    <w:rsid w:val="227819CB"/>
    <w:rsid w:val="23256975"/>
    <w:rsid w:val="23423424"/>
    <w:rsid w:val="23EA6B2E"/>
    <w:rsid w:val="240C4724"/>
    <w:rsid w:val="243F7370"/>
    <w:rsid w:val="24E93CA3"/>
    <w:rsid w:val="24E95DA0"/>
    <w:rsid w:val="26053E04"/>
    <w:rsid w:val="26DD3CEE"/>
    <w:rsid w:val="27F05BD9"/>
    <w:rsid w:val="285745BD"/>
    <w:rsid w:val="2A8E004C"/>
    <w:rsid w:val="2B6A1BE2"/>
    <w:rsid w:val="2CB90995"/>
    <w:rsid w:val="2D5179CF"/>
    <w:rsid w:val="2ED5581D"/>
    <w:rsid w:val="2F25260C"/>
    <w:rsid w:val="2FEF1F17"/>
    <w:rsid w:val="308A097E"/>
    <w:rsid w:val="319039E6"/>
    <w:rsid w:val="32085AE3"/>
    <w:rsid w:val="327F0D3B"/>
    <w:rsid w:val="32A61E4B"/>
    <w:rsid w:val="331A4758"/>
    <w:rsid w:val="3369385E"/>
    <w:rsid w:val="33CA23C6"/>
    <w:rsid w:val="351101A8"/>
    <w:rsid w:val="35C0542C"/>
    <w:rsid w:val="372B2789"/>
    <w:rsid w:val="37397D35"/>
    <w:rsid w:val="37CE32A7"/>
    <w:rsid w:val="384F06F9"/>
    <w:rsid w:val="395026E3"/>
    <w:rsid w:val="39A43A9C"/>
    <w:rsid w:val="39C83B1B"/>
    <w:rsid w:val="3AC54CA3"/>
    <w:rsid w:val="3AE72E6B"/>
    <w:rsid w:val="3AFF33E8"/>
    <w:rsid w:val="3C283EF4"/>
    <w:rsid w:val="3C2D3B80"/>
    <w:rsid w:val="3D476359"/>
    <w:rsid w:val="3D9A658C"/>
    <w:rsid w:val="3DE10046"/>
    <w:rsid w:val="3DEE1D80"/>
    <w:rsid w:val="3DF338D5"/>
    <w:rsid w:val="3EA378DA"/>
    <w:rsid w:val="3EF73899"/>
    <w:rsid w:val="3F0227F8"/>
    <w:rsid w:val="3F651E10"/>
    <w:rsid w:val="3F6F78D3"/>
    <w:rsid w:val="41B94E35"/>
    <w:rsid w:val="426C16E4"/>
    <w:rsid w:val="43397357"/>
    <w:rsid w:val="43D85920"/>
    <w:rsid w:val="442F62DC"/>
    <w:rsid w:val="443B5FD6"/>
    <w:rsid w:val="44F010A2"/>
    <w:rsid w:val="459220B9"/>
    <w:rsid w:val="46DB7A17"/>
    <w:rsid w:val="48333FF5"/>
    <w:rsid w:val="485E6BC5"/>
    <w:rsid w:val="48A00AFD"/>
    <w:rsid w:val="48E62910"/>
    <w:rsid w:val="49FA5FEB"/>
    <w:rsid w:val="4A3E0C6F"/>
    <w:rsid w:val="4A4553AE"/>
    <w:rsid w:val="4B914BF5"/>
    <w:rsid w:val="4C7D3400"/>
    <w:rsid w:val="4CB230FF"/>
    <w:rsid w:val="4CE83F1B"/>
    <w:rsid w:val="4D413CB4"/>
    <w:rsid w:val="4EE564B0"/>
    <w:rsid w:val="4F3512E0"/>
    <w:rsid w:val="4F8D414D"/>
    <w:rsid w:val="4FFC159D"/>
    <w:rsid w:val="51CD3614"/>
    <w:rsid w:val="51E515F8"/>
    <w:rsid w:val="522400A9"/>
    <w:rsid w:val="522433BF"/>
    <w:rsid w:val="531539E5"/>
    <w:rsid w:val="53D55AFF"/>
    <w:rsid w:val="53FC6986"/>
    <w:rsid w:val="54A60BE9"/>
    <w:rsid w:val="559A7000"/>
    <w:rsid w:val="5628185A"/>
    <w:rsid w:val="56770AFB"/>
    <w:rsid w:val="56B7237D"/>
    <w:rsid w:val="573C6F55"/>
    <w:rsid w:val="57D63A28"/>
    <w:rsid w:val="57F95C42"/>
    <w:rsid w:val="581B6CF3"/>
    <w:rsid w:val="58527420"/>
    <w:rsid w:val="585F0652"/>
    <w:rsid w:val="591A5625"/>
    <w:rsid w:val="5980136F"/>
    <w:rsid w:val="59DD58A1"/>
    <w:rsid w:val="5AE900E2"/>
    <w:rsid w:val="5B3702F7"/>
    <w:rsid w:val="5C7F1F93"/>
    <w:rsid w:val="5D89084C"/>
    <w:rsid w:val="5E72647F"/>
    <w:rsid w:val="5E834DD9"/>
    <w:rsid w:val="5EAE205D"/>
    <w:rsid w:val="5F236DE7"/>
    <w:rsid w:val="5FEE7E35"/>
    <w:rsid w:val="608E3660"/>
    <w:rsid w:val="614C50B2"/>
    <w:rsid w:val="617B7B59"/>
    <w:rsid w:val="620B4DE2"/>
    <w:rsid w:val="621505DC"/>
    <w:rsid w:val="625D22A8"/>
    <w:rsid w:val="62914838"/>
    <w:rsid w:val="63025693"/>
    <w:rsid w:val="64187FBF"/>
    <w:rsid w:val="648D7D30"/>
    <w:rsid w:val="657340D8"/>
    <w:rsid w:val="65C0401D"/>
    <w:rsid w:val="662648F8"/>
    <w:rsid w:val="665F1537"/>
    <w:rsid w:val="66DF56DE"/>
    <w:rsid w:val="67D85B6C"/>
    <w:rsid w:val="68ED6A71"/>
    <w:rsid w:val="69317B0A"/>
    <w:rsid w:val="69F67FAD"/>
    <w:rsid w:val="6A176F63"/>
    <w:rsid w:val="6A9734A6"/>
    <w:rsid w:val="6BFA67BA"/>
    <w:rsid w:val="6C67192F"/>
    <w:rsid w:val="6CE60189"/>
    <w:rsid w:val="6E04301E"/>
    <w:rsid w:val="6E1868BC"/>
    <w:rsid w:val="6EC40CCB"/>
    <w:rsid w:val="6F135C55"/>
    <w:rsid w:val="6F215C44"/>
    <w:rsid w:val="6F411AA4"/>
    <w:rsid w:val="6F5A2F04"/>
    <w:rsid w:val="6FDA0E9E"/>
    <w:rsid w:val="70E069DE"/>
    <w:rsid w:val="732820F7"/>
    <w:rsid w:val="733456E0"/>
    <w:rsid w:val="734D446A"/>
    <w:rsid w:val="740972B4"/>
    <w:rsid w:val="746B0D64"/>
    <w:rsid w:val="74C80B12"/>
    <w:rsid w:val="759B0467"/>
    <w:rsid w:val="774A1FD3"/>
    <w:rsid w:val="77FE4FE3"/>
    <w:rsid w:val="78C830A0"/>
    <w:rsid w:val="78D36201"/>
    <w:rsid w:val="792F1A3C"/>
    <w:rsid w:val="793270FF"/>
    <w:rsid w:val="79B5177D"/>
    <w:rsid w:val="79CD520C"/>
    <w:rsid w:val="7A463EB9"/>
    <w:rsid w:val="7A5F5A01"/>
    <w:rsid w:val="7A8377B3"/>
    <w:rsid w:val="7AB91175"/>
    <w:rsid w:val="7AD77F2B"/>
    <w:rsid w:val="7BA6167A"/>
    <w:rsid w:val="7C31594E"/>
    <w:rsid w:val="7CD608CD"/>
    <w:rsid w:val="7D9D4043"/>
    <w:rsid w:val="7E9D0BC6"/>
    <w:rsid w:val="7F2870AA"/>
    <w:rsid w:val="7F8942DD"/>
    <w:rsid w:val="7FD20C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spacing w:before="280" w:after="290" w:line="376" w:lineRule="auto"/>
      <w:outlineLvl w:val="4"/>
    </w:pPr>
    <w:rPr>
      <w:b/>
      <w:sz w:val="28"/>
      <w:szCs w:val="20"/>
    </w:rPr>
  </w:style>
  <w:style w:type="paragraph" w:styleId="8">
    <w:name w:val="heading 6"/>
    <w:basedOn w:val="1"/>
    <w:next w:val="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spacing w:before="240" w:after="64" w:line="320" w:lineRule="auto"/>
      <w:outlineLvl w:val="6"/>
    </w:pPr>
    <w:rPr>
      <w:b/>
      <w:sz w:val="24"/>
      <w:szCs w:val="20"/>
    </w:rPr>
  </w:style>
  <w:style w:type="paragraph" w:styleId="10">
    <w:name w:val="heading 8"/>
    <w:basedOn w:val="1"/>
    <w:next w:val="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spacing w:before="240" w:after="64" w:line="320" w:lineRule="auto"/>
      <w:outlineLvl w:val="8"/>
    </w:pPr>
    <w:rPr>
      <w:rFonts w:ascii="Arial" w:hAnsi="Arial" w:eastAsia="黑体"/>
      <w:szCs w:val="20"/>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12">
    <w:name w:val="toc 7"/>
    <w:basedOn w:val="1"/>
    <w:next w:val="1"/>
    <w:qFormat/>
    <w:uiPriority w:val="0"/>
    <w:pPr>
      <w:ind w:left="2520" w:leftChars="1200"/>
    </w:pPr>
    <w:rPr>
      <w:rFonts w:ascii="Cambria" w:hAnsi="Cambria"/>
      <w:szCs w:val="21"/>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99"/>
    <w:pPr>
      <w:jc w:val="left"/>
    </w:pPr>
    <w:rPr>
      <w:rFonts w:ascii="Cambria" w:hAnsi="Cambria"/>
      <w:szCs w:val="21"/>
    </w:rPr>
  </w:style>
  <w:style w:type="paragraph" w:styleId="15">
    <w:name w:val="Body Text 3"/>
    <w:basedOn w:val="1"/>
    <w:qFormat/>
    <w:uiPriority w:val="0"/>
    <w:pPr>
      <w:widowControl/>
      <w:ind w:right="720"/>
      <w:jc w:val="left"/>
    </w:pPr>
    <w:rPr>
      <w:kern w:val="0"/>
      <w:sz w:val="20"/>
      <w:szCs w:val="20"/>
      <w:lang w:eastAsia="en-US"/>
    </w:rPr>
  </w:style>
  <w:style w:type="paragraph" w:styleId="16">
    <w:name w:val="Body Text"/>
    <w:basedOn w:val="1"/>
    <w:qFormat/>
    <w:uiPriority w:val="0"/>
    <w:pPr>
      <w:tabs>
        <w:tab w:val="left" w:pos="567"/>
      </w:tabs>
      <w:spacing w:before="120" w:line="22" w:lineRule="atLeast"/>
    </w:pPr>
    <w:rPr>
      <w:rFonts w:ascii="宋体" w:hAnsi="宋体"/>
      <w:sz w:val="24"/>
    </w:rPr>
  </w:style>
  <w:style w:type="paragraph" w:styleId="17">
    <w:name w:val="Body Text Indent"/>
    <w:basedOn w:val="1"/>
    <w:qFormat/>
    <w:uiPriority w:val="0"/>
    <w:pPr>
      <w:spacing w:after="120"/>
      <w:ind w:left="420" w:leftChars="200"/>
    </w:pPr>
  </w:style>
  <w:style w:type="paragraph" w:styleId="18">
    <w:name w:val="toc 5"/>
    <w:basedOn w:val="1"/>
    <w:next w:val="1"/>
    <w:qFormat/>
    <w:uiPriority w:val="0"/>
    <w:pPr>
      <w:ind w:left="1680" w:leftChars="800"/>
    </w:pPr>
    <w:rPr>
      <w:rFonts w:ascii="Cambria" w:hAnsi="Cambria"/>
      <w:szCs w:val="21"/>
    </w:rPr>
  </w:style>
  <w:style w:type="paragraph" w:styleId="19">
    <w:name w:val="toc 3"/>
    <w:basedOn w:val="1"/>
    <w:next w:val="1"/>
    <w:qFormat/>
    <w:uiPriority w:val="0"/>
    <w:pPr>
      <w:ind w:left="840" w:leftChars="400"/>
    </w:pPr>
    <w:rPr>
      <w:rFonts w:ascii="Cambria" w:hAnsi="Cambria"/>
      <w:szCs w:val="21"/>
    </w:rPr>
  </w:style>
  <w:style w:type="paragraph" w:styleId="20">
    <w:name w:val="Plain Text"/>
    <w:basedOn w:val="1"/>
    <w:link w:val="48"/>
    <w:qFormat/>
    <w:uiPriority w:val="99"/>
    <w:rPr>
      <w:rFonts w:ascii="宋体" w:hAnsi="Courier New"/>
      <w:szCs w:val="20"/>
    </w:rPr>
  </w:style>
  <w:style w:type="paragraph" w:styleId="21">
    <w:name w:val="toc 8"/>
    <w:basedOn w:val="1"/>
    <w:next w:val="1"/>
    <w:qFormat/>
    <w:uiPriority w:val="0"/>
    <w:pPr>
      <w:ind w:left="2940" w:leftChars="1400"/>
    </w:pPr>
    <w:rPr>
      <w:rFonts w:ascii="Cambria" w:hAnsi="Cambria"/>
      <w:szCs w:val="21"/>
    </w:rPr>
  </w:style>
  <w:style w:type="paragraph" w:styleId="22">
    <w:name w:val="Date"/>
    <w:basedOn w:val="1"/>
    <w:next w:val="1"/>
    <w:link w:val="49"/>
    <w:qFormat/>
    <w:uiPriority w:val="0"/>
    <w:rPr>
      <w:szCs w:val="20"/>
    </w:rPr>
  </w:style>
  <w:style w:type="paragraph" w:styleId="23">
    <w:name w:val="Body Text Indent 2"/>
    <w:basedOn w:val="1"/>
    <w:qFormat/>
    <w:uiPriority w:val="0"/>
    <w:pPr>
      <w:ind w:firstLine="480" w:firstLineChars="200"/>
    </w:pPr>
    <w:rPr>
      <w:rFonts w:ascii="仿宋_GB2312" w:eastAsia="仿宋_GB2312"/>
      <w:sz w:val="24"/>
    </w:rPr>
  </w:style>
  <w:style w:type="paragraph" w:styleId="24">
    <w:name w:val="Balloon Text"/>
    <w:basedOn w:val="1"/>
    <w:semiHidden/>
    <w:qFormat/>
    <w:uiPriority w:val="0"/>
    <w:rPr>
      <w:sz w:val="18"/>
      <w:szCs w:val="18"/>
    </w:rPr>
  </w:style>
  <w:style w:type="paragraph" w:styleId="25">
    <w:name w:val="footer"/>
    <w:basedOn w:val="1"/>
    <w:link w:val="50"/>
    <w:qFormat/>
    <w:uiPriority w:val="99"/>
    <w:pPr>
      <w:tabs>
        <w:tab w:val="center" w:pos="4153"/>
        <w:tab w:val="right" w:pos="8306"/>
      </w:tabs>
      <w:snapToGrid w:val="0"/>
      <w:jc w:val="left"/>
    </w:pPr>
    <w:rPr>
      <w:sz w:val="18"/>
      <w:szCs w:val="18"/>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1"/>
      </w:tabs>
    </w:pPr>
    <w:rPr>
      <w:rFonts w:ascii="仿宋_GB2312" w:hAnsi="宋体" w:eastAsia="仿宋_GB2312" w:cs="仿宋_GB2312"/>
      <w:color w:val="000000"/>
      <w:szCs w:val="21"/>
    </w:rPr>
  </w:style>
  <w:style w:type="paragraph" w:styleId="28">
    <w:name w:val="toc 4"/>
    <w:basedOn w:val="1"/>
    <w:next w:val="1"/>
    <w:qFormat/>
    <w:uiPriority w:val="0"/>
    <w:pPr>
      <w:ind w:left="1260" w:leftChars="600"/>
    </w:pPr>
    <w:rPr>
      <w:rFonts w:ascii="Cambria" w:hAnsi="Cambria"/>
      <w:szCs w:val="21"/>
    </w:rPr>
  </w:style>
  <w:style w:type="paragraph" w:styleId="29">
    <w:name w:val="toc 6"/>
    <w:basedOn w:val="1"/>
    <w:next w:val="1"/>
    <w:qFormat/>
    <w:uiPriority w:val="0"/>
    <w:pPr>
      <w:ind w:left="2100" w:leftChars="1000"/>
    </w:pPr>
    <w:rPr>
      <w:rFonts w:ascii="Cambria" w:hAnsi="Cambria"/>
      <w:szCs w:val="21"/>
    </w:rPr>
  </w:style>
  <w:style w:type="paragraph" w:styleId="30">
    <w:name w:val="Body Text Indent 3"/>
    <w:basedOn w:val="1"/>
    <w:link w:val="52"/>
    <w:qFormat/>
    <w:uiPriority w:val="0"/>
    <w:pPr>
      <w:autoSpaceDE w:val="0"/>
      <w:autoSpaceDN w:val="0"/>
      <w:adjustRightInd w:val="0"/>
      <w:spacing w:before="120" w:line="22" w:lineRule="atLeast"/>
      <w:ind w:left="720" w:firstLine="480"/>
      <w:jc w:val="left"/>
    </w:pPr>
    <w:rPr>
      <w:rFonts w:ascii="宋体" w:hAnsi="Cambria" w:cs="宋体"/>
      <w:kern w:val="0"/>
      <w:sz w:val="24"/>
    </w:rPr>
  </w:style>
  <w:style w:type="paragraph" w:styleId="31">
    <w:name w:val="toc 2"/>
    <w:basedOn w:val="1"/>
    <w:next w:val="1"/>
    <w:qFormat/>
    <w:uiPriority w:val="0"/>
    <w:pPr>
      <w:spacing w:before="120" w:line="360" w:lineRule="auto"/>
    </w:pPr>
    <w:rPr>
      <w:rFonts w:ascii="仿宋_GB2312" w:hAnsi="宋体" w:eastAsia="仿宋_GB2312" w:cs="仿宋_GB2312"/>
      <w:b/>
      <w:bCs/>
      <w:sz w:val="24"/>
    </w:rPr>
  </w:style>
  <w:style w:type="paragraph" w:styleId="32">
    <w:name w:val="toc 9"/>
    <w:basedOn w:val="1"/>
    <w:next w:val="1"/>
    <w:qFormat/>
    <w:uiPriority w:val="0"/>
    <w:pPr>
      <w:ind w:left="3360" w:leftChars="1600"/>
    </w:pPr>
    <w:rPr>
      <w:rFonts w:ascii="Cambria" w:hAnsi="Cambria"/>
      <w:szCs w:val="21"/>
    </w:rPr>
  </w:style>
  <w:style w:type="paragraph" w:styleId="33">
    <w:name w:val="Body Text 2"/>
    <w:basedOn w:val="1"/>
    <w:qFormat/>
    <w:uiPriority w:val="0"/>
    <w:pPr>
      <w:widowControl/>
    </w:pPr>
    <w:rPr>
      <w:kern w:val="0"/>
      <w:sz w:val="20"/>
      <w:szCs w:val="20"/>
      <w:lang w:eastAsia="en-US"/>
    </w:rPr>
  </w:style>
  <w:style w:type="paragraph" w:styleId="3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35">
    <w:name w:val="index 1"/>
    <w:basedOn w:val="1"/>
    <w:next w:val="1"/>
    <w:qFormat/>
    <w:uiPriority w:val="0"/>
    <w:rPr>
      <w:rFonts w:ascii="Cambria" w:hAnsi="Cambria"/>
      <w:szCs w:val="21"/>
    </w:rPr>
  </w:style>
  <w:style w:type="paragraph" w:styleId="36">
    <w:name w:val="Title"/>
    <w:basedOn w:val="1"/>
    <w:qFormat/>
    <w:uiPriority w:val="0"/>
    <w:pPr>
      <w:jc w:val="center"/>
    </w:pPr>
    <w:rPr>
      <w:sz w:val="30"/>
    </w:rPr>
  </w:style>
  <w:style w:type="paragraph" w:styleId="37">
    <w:name w:val="annotation subject"/>
    <w:basedOn w:val="14"/>
    <w:next w:val="14"/>
    <w:link w:val="53"/>
    <w:qFormat/>
    <w:uiPriority w:val="0"/>
    <w:rPr>
      <w:rFonts w:ascii="Times New Roman" w:hAnsi="Times New Roman"/>
      <w:b/>
      <w:bCs/>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character" w:customStyle="1" w:styleId="47">
    <w:name w:val="批注文字 字符"/>
    <w:link w:val="14"/>
    <w:qFormat/>
    <w:uiPriority w:val="99"/>
    <w:rPr>
      <w:rFonts w:ascii="Cambria" w:hAnsi="Cambria"/>
      <w:kern w:val="2"/>
      <w:sz w:val="21"/>
      <w:szCs w:val="21"/>
    </w:rPr>
  </w:style>
  <w:style w:type="character" w:customStyle="1" w:styleId="48">
    <w:name w:val="纯文本 字符"/>
    <w:link w:val="20"/>
    <w:qFormat/>
    <w:uiPriority w:val="99"/>
    <w:rPr>
      <w:rFonts w:ascii="宋体" w:hAnsi="Courier New"/>
      <w:kern w:val="2"/>
      <w:sz w:val="21"/>
    </w:rPr>
  </w:style>
  <w:style w:type="character" w:customStyle="1" w:styleId="49">
    <w:name w:val="日期 字符"/>
    <w:link w:val="22"/>
    <w:qFormat/>
    <w:uiPriority w:val="0"/>
    <w:rPr>
      <w:rFonts w:eastAsia="宋体"/>
      <w:kern w:val="2"/>
      <w:sz w:val="21"/>
      <w:lang w:val="en-US" w:eastAsia="zh-CN" w:bidi="ar-SA"/>
    </w:rPr>
  </w:style>
  <w:style w:type="character" w:customStyle="1" w:styleId="50">
    <w:name w:val="页脚 字符"/>
    <w:link w:val="25"/>
    <w:qFormat/>
    <w:uiPriority w:val="99"/>
    <w:rPr>
      <w:kern w:val="2"/>
      <w:sz w:val="18"/>
      <w:szCs w:val="18"/>
    </w:rPr>
  </w:style>
  <w:style w:type="character" w:customStyle="1" w:styleId="51">
    <w:name w:val="页眉 字符"/>
    <w:link w:val="26"/>
    <w:qFormat/>
    <w:uiPriority w:val="0"/>
    <w:rPr>
      <w:kern w:val="2"/>
      <w:sz w:val="18"/>
      <w:szCs w:val="18"/>
    </w:rPr>
  </w:style>
  <w:style w:type="character" w:customStyle="1" w:styleId="52">
    <w:name w:val="正文文本缩进 3 字符"/>
    <w:link w:val="30"/>
    <w:qFormat/>
    <w:uiPriority w:val="0"/>
    <w:rPr>
      <w:rFonts w:ascii="宋体" w:hAnsi="Cambria" w:cs="宋体"/>
      <w:sz w:val="24"/>
      <w:szCs w:val="24"/>
    </w:rPr>
  </w:style>
  <w:style w:type="character" w:customStyle="1" w:styleId="53">
    <w:name w:val="批注主题 字符"/>
    <w:link w:val="37"/>
    <w:qFormat/>
    <w:uiPriority w:val="0"/>
    <w:rPr>
      <w:rFonts w:ascii="Cambria" w:hAnsi="Cambria"/>
      <w:b/>
      <w:bCs/>
      <w:kern w:val="2"/>
      <w:sz w:val="21"/>
      <w:szCs w:val="24"/>
    </w:rPr>
  </w:style>
  <w:style w:type="character" w:customStyle="1" w:styleId="54">
    <w:name w:val=" Char"/>
    <w:qFormat/>
    <w:uiPriority w:val="0"/>
    <w:rPr>
      <w:rFonts w:ascii="宋体" w:hAnsi="Courier New" w:eastAsia="宋体"/>
      <w:kern w:val="2"/>
      <w:sz w:val="21"/>
      <w:lang w:val="en-US" w:eastAsia="zh-CN" w:bidi="ar-SA"/>
    </w:rPr>
  </w:style>
  <w:style w:type="paragraph" w:customStyle="1" w:styleId="55">
    <w:name w:val=" Char1"/>
    <w:basedOn w:val="1"/>
    <w:qFormat/>
    <w:uiPriority w:val="0"/>
    <w:rPr>
      <w:rFonts w:ascii="Tahoma" w:hAnsi="Tahoma"/>
      <w:sz w:val="24"/>
      <w:szCs w:val="20"/>
    </w:rPr>
  </w:style>
  <w:style w:type="paragraph" w:customStyle="1" w:styleId="56">
    <w:name w:val="彩色列表 - 强调文字颜色 11"/>
    <w:basedOn w:val="1"/>
    <w:qFormat/>
    <w:uiPriority w:val="34"/>
    <w:pPr>
      <w:ind w:firstLine="420" w:firstLineChars="200"/>
    </w:pPr>
    <w:rPr>
      <w:rFonts w:ascii="Calibri" w:hAnsi="Calibri"/>
      <w:szCs w:val="22"/>
    </w:rPr>
  </w:style>
  <w:style w:type="paragraph" w:customStyle="1" w:styleId="57">
    <w:name w:val="Body Text 2"/>
    <w:basedOn w:val="1"/>
    <w:qFormat/>
    <w:uiPriority w:val="0"/>
    <w:pPr>
      <w:adjustRightInd w:val="0"/>
      <w:spacing w:before="120" w:line="360" w:lineRule="auto"/>
      <w:ind w:firstLine="480"/>
      <w:textAlignment w:val="baseline"/>
    </w:pPr>
    <w:rPr>
      <w:sz w:val="24"/>
      <w:szCs w:val="20"/>
    </w:rPr>
  </w:style>
  <w:style w:type="paragraph" w:customStyle="1" w:styleId="58">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59">
    <w:name w:val="Body Text Indent 2"/>
    <w:basedOn w:val="1"/>
    <w:qFormat/>
    <w:uiPriority w:val="0"/>
    <w:pPr>
      <w:adjustRightInd w:val="0"/>
      <w:spacing w:before="120"/>
      <w:ind w:firstLine="420"/>
      <w:textAlignment w:val="baseline"/>
    </w:pPr>
    <w:rPr>
      <w:sz w:val="24"/>
      <w:szCs w:val="20"/>
    </w:rPr>
  </w:style>
  <w:style w:type="character" w:customStyle="1" w:styleId="60">
    <w:name w:val="Char"/>
    <w:qFormat/>
    <w:uiPriority w:val="0"/>
    <w:rPr>
      <w:rFonts w:ascii="宋体" w:hAnsi="Courier New" w:eastAsia="宋体" w:cs="宋体"/>
      <w:kern w:val="2"/>
      <w:sz w:val="21"/>
      <w:szCs w:val="21"/>
      <w:lang w:val="en-US" w:eastAsia="zh-CN"/>
    </w:rPr>
  </w:style>
  <w:style w:type="paragraph" w:customStyle="1" w:styleId="61">
    <w:name w:val="标题1"/>
    <w:basedOn w:val="36"/>
    <w:qFormat/>
    <w:uiPriority w:val="0"/>
    <w:pPr>
      <w:spacing w:before="240" w:after="240"/>
      <w:outlineLvl w:val="0"/>
    </w:pPr>
    <w:rPr>
      <w:rFonts w:ascii="Arial" w:hAnsi="Arial" w:cs="Arial"/>
      <w:b/>
      <w:bCs/>
      <w:spacing w:val="2"/>
      <w:sz w:val="44"/>
      <w:szCs w:val="44"/>
    </w:rPr>
  </w:style>
  <w:style w:type="paragraph" w:customStyle="1" w:styleId="62">
    <w:name w:val="附录标题3"/>
    <w:basedOn w:val="1"/>
    <w:next w:val="4"/>
    <w:qFormat/>
    <w:uiPriority w:val="0"/>
    <w:pPr>
      <w:tabs>
        <w:tab w:val="left" w:pos="1080"/>
        <w:tab w:val="left" w:pos="2880"/>
      </w:tabs>
      <w:ind w:left="2880" w:hanging="720"/>
      <w:outlineLvl w:val="0"/>
    </w:pPr>
    <w:rPr>
      <w:rFonts w:ascii="Arial" w:hAnsi="Arial" w:cs="Arial"/>
      <w:sz w:val="24"/>
    </w:rPr>
  </w:style>
  <w:style w:type="paragraph" w:customStyle="1" w:styleId="63">
    <w:name w:val="样式"/>
    <w:basedOn w:val="1"/>
    <w:next w:val="20"/>
    <w:qFormat/>
    <w:uiPriority w:val="0"/>
    <w:rPr>
      <w:rFonts w:ascii="宋体" w:hAnsi="Courier New" w:cs="宋体"/>
      <w:szCs w:val="21"/>
    </w:rPr>
  </w:style>
  <w:style w:type="paragraph" w:customStyle="1" w:styleId="64">
    <w:name w:val="Char1"/>
    <w:basedOn w:val="1"/>
    <w:qFormat/>
    <w:uiPriority w:val="0"/>
    <w:rPr>
      <w:rFonts w:ascii="Tahoma" w:hAnsi="Tahoma"/>
      <w:sz w:val="24"/>
      <w:szCs w:val="20"/>
    </w:rPr>
  </w:style>
  <w:style w:type="paragraph" w:customStyle="1" w:styleId="65">
    <w:name w:val="Char Char Char Char"/>
    <w:basedOn w:val="1"/>
    <w:qFormat/>
    <w:uiPriority w:val="0"/>
    <w:pPr>
      <w:spacing w:after="160" w:line="240" w:lineRule="exact"/>
    </w:pPr>
    <w:rPr>
      <w:rFonts w:ascii="Cambria" w:hAnsi="Cambria"/>
      <w:szCs w:val="21"/>
    </w:rPr>
  </w:style>
  <w:style w:type="paragraph" w:customStyle="1" w:styleId="66">
    <w:name w:val="trs_editor"/>
    <w:basedOn w:val="1"/>
    <w:qFormat/>
    <w:uiPriority w:val="0"/>
    <w:pPr>
      <w:widowControl/>
      <w:spacing w:before="100" w:beforeAutospacing="1" w:after="100" w:afterAutospacing="1"/>
      <w:jc w:val="left"/>
    </w:pPr>
    <w:rPr>
      <w:rFonts w:ascii="宋体" w:hAnsi="宋体" w:cs="宋体"/>
      <w:kern w:val="0"/>
      <w:sz w:val="24"/>
    </w:rPr>
  </w:style>
  <w:style w:type="paragraph" w:styleId="67">
    <w:name w:val="List Paragraph"/>
    <w:basedOn w:val="1"/>
    <w:qFormat/>
    <w:uiPriority w:val="34"/>
    <w:pPr>
      <w:ind w:left="205" w:right="169" w:firstLine="655"/>
    </w:pPr>
    <w:rPr>
      <w:rFonts w:ascii="Cambria" w:hAnsi="Cambria"/>
      <w:szCs w:val="21"/>
    </w:rPr>
  </w:style>
  <w:style w:type="table" w:customStyle="1" w:styleId="68">
    <w:name w:val="Table Normal"/>
    <w:unhideWhenUsed/>
    <w:qFormat/>
    <w:uiPriority w:val="2"/>
    <w:pPr>
      <w:widowControl w:val="0"/>
      <w:autoSpaceDE w:val="0"/>
      <w:autoSpaceDN w:val="0"/>
    </w:pPr>
    <w:rPr>
      <w:rFonts w:ascii="Cambria" w:hAnsi="Cambria"/>
      <w:sz w:val="22"/>
      <w:szCs w:val="22"/>
      <w:lang w:val="en-US" w:eastAsia="en-US" w:bidi="ar-SA"/>
    </w:rPr>
    <w:tblPr>
      <w:tblCellMar>
        <w:top w:w="0" w:type="dxa"/>
        <w:left w:w="0" w:type="dxa"/>
        <w:bottom w:w="0" w:type="dxa"/>
        <w:right w:w="0" w:type="dxa"/>
      </w:tblCellMar>
    </w:tblPr>
  </w:style>
  <w:style w:type="paragraph" w:customStyle="1" w:styleId="6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7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1">
    <w:name w:val="null3"/>
    <w:qFormat/>
    <w:uiPriority w:val="0"/>
    <w:rPr>
      <w:rFonts w:hint="eastAsia" w:ascii="Calibri" w:hAnsi="Calibri" w:eastAsia="宋体" w:cs="Times New Roman"/>
      <w:lang w:val="en-US" w:eastAsia="zh-Hans" w:bidi="ar-SA"/>
    </w:rPr>
  </w:style>
  <w:style w:type="paragraph" w:customStyle="1" w:styleId="72">
    <w:name w:val="_Style 7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5077</Words>
  <Characters>5681</Characters>
  <Lines>379</Lines>
  <Paragraphs>106</Paragraphs>
  <TotalTime>6</TotalTime>
  <ScaleCrop>false</ScaleCrop>
  <LinksUpToDate>false</LinksUpToDate>
  <CharactersWithSpaces>5839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2022-06-01T03:50:00Z</dcterms:created>
  <dc:creator>caowuning</dc:creator>
  <cp:lastModifiedBy>C.X.F</cp:lastModifiedBy>
  <cp:lastPrinted>2009-04-21T09:03:00Z</cp:lastPrinted>
  <dcterms:modified xsi:type="dcterms:W3CDTF">2026-07-08T05:53:04Z</dcterms:modified>
  <dc:title>北 京 市 政 府 采 购</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095C3B6F5B8E4FBA993379F78111C90F_13</vt:lpwstr>
  </property>
  <property fmtid="{D5CDD505-2E9C-101B-9397-08002B2CF9AE}" pid="4" name="KSOTemplateDocerSaveRecord">
    <vt:lpwstr>eyJoZGlkIjoiY2I5NTFkMDYyZjhhYjE2OGVmNDJkNzA2YTE0NzcwODMiLCJ1c2VySWQiOiI3MTgzNDAyNjIifQ==</vt:lpwstr>
  </property>
</Properties>
</file>