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CA414">
      <w:pPr>
        <w:adjustRightInd w:val="0"/>
        <w:snapToGrid w:val="0"/>
        <w:spacing w:after="156" w:afterLines="50" w:line="360" w:lineRule="auto"/>
        <w:jc w:val="center"/>
        <w:outlineLvl w:val="0"/>
        <w:rPr>
          <w:rFonts w:hint="eastAsia" w:ascii="黑体" w:hAnsi="Times New Roman" w:eastAsia="黑体" w:cs="Times New Roman"/>
          <w:b/>
          <w:color w:val="auto"/>
          <w:kern w:val="44"/>
          <w:sz w:val="48"/>
          <w:szCs w:val="20"/>
          <w:highlight w:val="none"/>
        </w:rPr>
      </w:pPr>
      <w:r>
        <w:rPr>
          <w:rFonts w:hint="eastAsia" w:ascii="宋体" w:hAnsi="宋体" w:eastAsia="宋体" w:cs="Times New Roman"/>
          <w:b/>
          <w:color w:val="auto"/>
          <w:sz w:val="30"/>
          <w:szCs w:val="30"/>
          <w:highlight w:val="none"/>
        </w:rPr>
        <w:t>采购需求</w:t>
      </w:r>
    </w:p>
    <w:p w14:paraId="26B3D7D0">
      <w:pPr>
        <w:adjustRightInd w:val="0"/>
        <w:snapToGrid w:val="0"/>
        <w:spacing w:before="156" w:beforeLines="50" w:after="156" w:afterLines="50" w:line="360" w:lineRule="auto"/>
        <w:jc w:val="center"/>
        <w:rPr>
          <w:rFonts w:hint="eastAsia" w:ascii="宋体" w:hAnsi="宋体" w:eastAsia="宋体" w:cs="Times New Roman"/>
          <w:b/>
          <w:color w:val="auto"/>
          <w:sz w:val="24"/>
          <w:highlight w:val="none"/>
        </w:rPr>
      </w:pPr>
    </w:p>
    <w:p w14:paraId="361E7E8D">
      <w:pPr>
        <w:adjustRightInd w:val="0"/>
        <w:snapToGrid w:val="0"/>
        <w:spacing w:before="156" w:beforeLines="50" w:after="156" w:afterLines="50" w:line="360" w:lineRule="auto"/>
        <w:jc w:val="center"/>
        <w:rPr>
          <w:rFonts w:hint="eastAsia" w:ascii="宋体" w:hAnsi="宋体" w:eastAsia="宋体" w:cs="Times New Roman"/>
          <w:b/>
          <w:color w:val="auto"/>
          <w:sz w:val="28"/>
          <w:szCs w:val="28"/>
          <w:highlight w:val="none"/>
        </w:rPr>
      </w:pPr>
      <w:r>
        <w:rPr>
          <w:rFonts w:hint="eastAsia" w:ascii="宋体" w:hAnsi="宋体" w:eastAsia="宋体" w:cs="Times New Roman"/>
          <w:b/>
          <w:color w:val="auto"/>
          <w:sz w:val="28"/>
          <w:szCs w:val="28"/>
          <w:highlight w:val="none"/>
        </w:rPr>
        <w:t>货物需求一览表</w:t>
      </w:r>
    </w:p>
    <w:p w14:paraId="1B6E7D15">
      <w:pPr>
        <w:rPr>
          <w:rFonts w:hint="eastAsia" w:ascii="Times New Roman" w:hAnsi="Times New Roman" w:eastAsia="宋体" w:cs="Times New Roman"/>
          <w:color w:val="auto"/>
          <w:highlight w:val="none"/>
        </w:rPr>
      </w:pPr>
    </w:p>
    <w:tbl>
      <w:tblPr>
        <w:tblStyle w:val="8"/>
        <w:tblW w:w="78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938"/>
        <w:gridCol w:w="3675"/>
        <w:gridCol w:w="1517"/>
        <w:gridCol w:w="1710"/>
      </w:tblGrid>
      <w:tr w14:paraId="4BF78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73" w:hRule="atLeast"/>
          <w:jc w:val="center"/>
        </w:trPr>
        <w:tc>
          <w:tcPr>
            <w:tcW w:w="938" w:type="dxa"/>
            <w:noWrap w:val="0"/>
            <w:vAlign w:val="center"/>
          </w:tcPr>
          <w:p w14:paraId="445D2EB4">
            <w:pPr>
              <w:jc w:val="center"/>
              <w:rPr>
                <w:rFonts w:ascii="宋体" w:hAnsi="Bookman Old Style" w:eastAsia="宋体" w:cs="Times New Roman"/>
                <w:color w:val="auto"/>
                <w:sz w:val="24"/>
                <w:highlight w:val="none"/>
              </w:rPr>
            </w:pPr>
            <w:r>
              <w:rPr>
                <w:rFonts w:hint="eastAsia" w:ascii="宋体" w:hAnsi="Bookman Old Style" w:eastAsia="宋体" w:cs="Times New Roman"/>
                <w:color w:val="auto"/>
                <w:sz w:val="24"/>
                <w:highlight w:val="none"/>
              </w:rPr>
              <w:t>包号</w:t>
            </w:r>
          </w:p>
        </w:tc>
        <w:tc>
          <w:tcPr>
            <w:tcW w:w="3675" w:type="dxa"/>
            <w:noWrap w:val="0"/>
            <w:vAlign w:val="center"/>
          </w:tcPr>
          <w:p w14:paraId="2C4EC095">
            <w:pPr>
              <w:jc w:val="center"/>
              <w:rPr>
                <w:rFonts w:ascii="宋体" w:hAnsi="Bookman Old Style" w:eastAsia="宋体" w:cs="Times New Roman"/>
                <w:color w:val="auto"/>
                <w:sz w:val="24"/>
                <w:highlight w:val="none"/>
              </w:rPr>
            </w:pPr>
            <w:r>
              <w:rPr>
                <w:rFonts w:hint="eastAsia" w:ascii="宋体" w:hAnsi="Bookman Old Style" w:eastAsia="宋体" w:cs="Times New Roman"/>
                <w:color w:val="auto"/>
                <w:sz w:val="24"/>
                <w:highlight w:val="none"/>
              </w:rPr>
              <w:t>货物名称</w:t>
            </w:r>
          </w:p>
        </w:tc>
        <w:tc>
          <w:tcPr>
            <w:tcW w:w="1517" w:type="dxa"/>
            <w:noWrap w:val="0"/>
            <w:vAlign w:val="center"/>
          </w:tcPr>
          <w:p w14:paraId="07DFEC66">
            <w:pPr>
              <w:jc w:val="center"/>
              <w:rPr>
                <w:rFonts w:ascii="宋体" w:hAnsi="Bookman Old Style" w:eastAsia="宋体" w:cs="Times New Roman"/>
                <w:color w:val="auto"/>
                <w:sz w:val="24"/>
                <w:highlight w:val="none"/>
              </w:rPr>
            </w:pPr>
            <w:r>
              <w:rPr>
                <w:rFonts w:hint="eastAsia" w:ascii="宋体" w:hAnsi="Bookman Old Style" w:eastAsia="宋体" w:cs="Times New Roman"/>
                <w:color w:val="auto"/>
                <w:sz w:val="24"/>
                <w:highlight w:val="none"/>
              </w:rPr>
              <w:t>数量</w:t>
            </w:r>
          </w:p>
        </w:tc>
        <w:tc>
          <w:tcPr>
            <w:tcW w:w="1710" w:type="dxa"/>
            <w:noWrap w:val="0"/>
            <w:vAlign w:val="center"/>
          </w:tcPr>
          <w:p w14:paraId="3E5C9899">
            <w:pPr>
              <w:jc w:val="center"/>
              <w:rPr>
                <w:rFonts w:ascii="宋体" w:hAnsi="Bookman Old Style" w:eastAsia="宋体" w:cs="Times New Roman"/>
                <w:color w:val="auto"/>
                <w:sz w:val="24"/>
                <w:highlight w:val="none"/>
              </w:rPr>
            </w:pPr>
            <w:r>
              <w:rPr>
                <w:rFonts w:hint="eastAsia" w:ascii="宋体" w:hAnsi="Bookman Old Style" w:eastAsia="宋体" w:cs="Times New Roman"/>
                <w:color w:val="auto"/>
                <w:sz w:val="24"/>
                <w:highlight w:val="none"/>
              </w:rPr>
              <w:t>是否接受进口</w:t>
            </w:r>
          </w:p>
        </w:tc>
      </w:tr>
      <w:tr w14:paraId="7143F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73" w:hRule="atLeast"/>
          <w:jc w:val="center"/>
        </w:trPr>
        <w:tc>
          <w:tcPr>
            <w:tcW w:w="938" w:type="dxa"/>
            <w:noWrap w:val="0"/>
            <w:vAlign w:val="center"/>
          </w:tcPr>
          <w:p w14:paraId="728B7E0B">
            <w:pPr>
              <w:jc w:val="center"/>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1</w:t>
            </w:r>
          </w:p>
        </w:tc>
        <w:tc>
          <w:tcPr>
            <w:tcW w:w="3675" w:type="dxa"/>
            <w:noWrap w:val="0"/>
            <w:vAlign w:val="center"/>
          </w:tcPr>
          <w:p w14:paraId="256F05AE">
            <w:pPr>
              <w:jc w:val="center"/>
              <w:rPr>
                <w:rFonts w:ascii="Bookman Old Style" w:hAnsi="Bookman Old Style" w:eastAsia="宋体" w:cs="Times New Roman"/>
                <w:color w:val="auto"/>
                <w:sz w:val="24"/>
                <w:highlight w:val="none"/>
              </w:rPr>
            </w:pPr>
            <w:r>
              <w:rPr>
                <w:rFonts w:hint="eastAsia" w:ascii="宋体" w:hAnsi="宋体" w:eastAsia="宋体" w:cs="宋体"/>
                <w:color w:val="auto"/>
                <w:sz w:val="24"/>
                <w:highlight w:val="none"/>
              </w:rPr>
              <w:t>自动光学检测系统</w:t>
            </w:r>
          </w:p>
        </w:tc>
        <w:tc>
          <w:tcPr>
            <w:tcW w:w="1517" w:type="dxa"/>
            <w:noWrap w:val="0"/>
            <w:vAlign w:val="center"/>
          </w:tcPr>
          <w:p w14:paraId="3BD1C1EB">
            <w:pPr>
              <w:jc w:val="center"/>
              <w:rPr>
                <w:rFonts w:hint="eastAsia" w:ascii="宋体" w:hAnsi="Bookman Old Style" w:eastAsia="宋体" w:cs="Times New Roman"/>
                <w:color w:val="auto"/>
                <w:sz w:val="24"/>
                <w:highlight w:val="none"/>
              </w:rPr>
            </w:pPr>
            <w:r>
              <w:rPr>
                <w:rFonts w:hint="eastAsia" w:ascii="宋体" w:hAnsi="宋体" w:eastAsia="宋体" w:cs="宋体"/>
                <w:color w:val="auto"/>
                <w:sz w:val="24"/>
                <w:highlight w:val="none"/>
              </w:rPr>
              <w:t>1套</w:t>
            </w:r>
          </w:p>
        </w:tc>
        <w:tc>
          <w:tcPr>
            <w:tcW w:w="1710" w:type="dxa"/>
            <w:noWrap w:val="0"/>
            <w:vAlign w:val="center"/>
          </w:tcPr>
          <w:p w14:paraId="141ACAD0">
            <w:pPr>
              <w:jc w:val="center"/>
              <w:rPr>
                <w:rFonts w:hint="eastAsia" w:ascii="宋体" w:hAnsi="Bookman Old Style" w:eastAsia="宋体" w:cs="Times New Roman"/>
                <w:color w:val="auto"/>
                <w:sz w:val="24"/>
                <w:highlight w:val="none"/>
              </w:rPr>
            </w:pPr>
            <w:r>
              <w:rPr>
                <w:rFonts w:hint="eastAsia" w:ascii="宋体" w:hAnsi="Bookman Old Style" w:eastAsia="宋体" w:cs="Times New Roman"/>
                <w:color w:val="auto"/>
                <w:sz w:val="24"/>
                <w:highlight w:val="none"/>
              </w:rPr>
              <w:t>否</w:t>
            </w:r>
          </w:p>
        </w:tc>
      </w:tr>
    </w:tbl>
    <w:p w14:paraId="4D67CE0E">
      <w:pPr>
        <w:adjustRightInd w:val="0"/>
        <w:snapToGrid w:val="0"/>
        <w:jc w:val="center"/>
        <w:rPr>
          <w:rFonts w:hint="eastAsia" w:ascii="宋体" w:hAnsi="宋体" w:eastAsia="宋体" w:cs="Times New Roman"/>
          <w:b/>
          <w:color w:val="auto"/>
          <w:sz w:val="30"/>
          <w:szCs w:val="30"/>
          <w:highlight w:val="none"/>
        </w:rPr>
      </w:pPr>
    </w:p>
    <w:p w14:paraId="1741AA5A">
      <w:pPr>
        <w:spacing w:line="360" w:lineRule="auto"/>
        <w:rPr>
          <w:rFonts w:hint="eastAsia" w:ascii="Bookman Old Style" w:hAnsi="Bookman Old Style" w:eastAsia="宋体" w:cs="Times New Roman"/>
          <w:color w:val="auto"/>
          <w:sz w:val="24"/>
          <w:highlight w:val="none"/>
        </w:rPr>
      </w:pPr>
      <w:r>
        <w:rPr>
          <w:rFonts w:hint="eastAsia" w:ascii="Times New Roman" w:hAnsi="Times New Roman" w:eastAsia="宋体" w:cs="Times New Roman"/>
          <w:color w:val="auto"/>
          <w:sz w:val="24"/>
          <w:highlight w:val="none"/>
        </w:rPr>
        <w:t>注：投标人须对上述投标内容中完整的一包或几包进行投标，</w:t>
      </w:r>
      <w:r>
        <w:rPr>
          <w:rFonts w:hint="eastAsia" w:ascii="Bookman Old Style" w:hAnsi="Bookman Old Style" w:eastAsia="宋体" w:cs="Times New Roman"/>
          <w:color w:val="auto"/>
          <w:sz w:val="24"/>
          <w:highlight w:val="none"/>
        </w:rPr>
        <w:t>不完整的投标将视为非响应性投标予以拒绝。</w:t>
      </w:r>
    </w:p>
    <w:p w14:paraId="3CF77830">
      <w:pPr>
        <w:tabs>
          <w:tab w:val="left" w:pos="720"/>
        </w:tabs>
        <w:adjustRightInd w:val="0"/>
        <w:snapToGrid w:val="0"/>
        <w:jc w:val="center"/>
        <w:rPr>
          <w:rFonts w:ascii="Times New Roman" w:hAnsi="Times New Roman" w:eastAsia="宋体" w:cs="Times New Roman"/>
          <w:b/>
          <w:color w:val="auto"/>
          <w:sz w:val="32"/>
          <w:szCs w:val="32"/>
          <w:highlight w:val="none"/>
        </w:rPr>
      </w:pPr>
      <w:r>
        <w:rPr>
          <w:rFonts w:hint="eastAsia" w:ascii="Times New Roman" w:hAnsi="Times New Roman" w:eastAsia="宋体" w:cs="Times New Roman"/>
          <w:color w:val="auto"/>
          <w:highlight w:val="none"/>
        </w:rPr>
        <w:br w:type="page"/>
      </w:r>
      <w:r>
        <w:rPr>
          <w:rFonts w:hint="eastAsia" w:ascii="Times New Roman" w:hAnsi="Times New Roman" w:eastAsia="宋体" w:cs="Times New Roman"/>
          <w:b/>
          <w:color w:val="auto"/>
          <w:sz w:val="32"/>
          <w:szCs w:val="32"/>
          <w:highlight w:val="none"/>
        </w:rPr>
        <w:t>一、</w:t>
      </w:r>
      <w:r>
        <w:rPr>
          <w:rFonts w:ascii="Times New Roman" w:hAnsi="Times New Roman" w:eastAsia="宋体" w:cs="Times New Roman"/>
          <w:b/>
          <w:color w:val="auto"/>
          <w:sz w:val="32"/>
          <w:szCs w:val="32"/>
          <w:highlight w:val="none"/>
        </w:rPr>
        <w:t>总则</w:t>
      </w:r>
    </w:p>
    <w:p w14:paraId="7BD2A6A6">
      <w:pPr>
        <w:spacing w:line="360" w:lineRule="auto"/>
        <w:ind w:left="601" w:hanging="60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1、投标要求</w:t>
      </w:r>
    </w:p>
    <w:p w14:paraId="5D4D95A3">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1.1  供应商在准备投标文件时，务必在所提供的商品的技术规格文件中，标明型号、商标名称、目录号。</w:t>
      </w:r>
    </w:p>
    <w:p w14:paraId="2C5E8738">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1.2  </w:t>
      </w:r>
      <w:r>
        <w:rPr>
          <w:rFonts w:hint="eastAsia" w:ascii="宋体" w:hAnsi="宋体" w:eastAsia="宋体" w:cs="宋体"/>
          <w:b/>
          <w:bCs/>
          <w:color w:val="auto"/>
          <w:sz w:val="24"/>
          <w:highlight w:val="none"/>
        </w:rPr>
        <w:t>供应商提供的货物须是成熟的全新的产品</w:t>
      </w:r>
      <w:r>
        <w:rPr>
          <w:rFonts w:hint="eastAsia" w:ascii="宋体" w:hAnsi="宋体" w:eastAsia="宋体" w:cs="宋体"/>
          <w:color w:val="auto"/>
          <w:sz w:val="24"/>
          <w:highlight w:val="none"/>
        </w:rPr>
        <w:t>，其技术规格应符合采购文件的要求。如与采购文件的技术规格有偏差，应提供技术规格偏差的量值或说明（偏离表）。如供应商有意隐瞒对规格要求的偏差或在开标后提出新的偏差，采购人有权拒绝其投标。</w:t>
      </w:r>
    </w:p>
    <w:p w14:paraId="6030D6C8">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1.3  供应商提供的产品样本，必须是“原件”而非复印件，图表、简图、电路图以及印刷电路板图等都应清晰易读。采购人有权不付任何附加费用复制这些资料以供参考。</w:t>
      </w:r>
    </w:p>
    <w:p w14:paraId="3C5882D5">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1.4  供应商的投标产品应符合国家有关部门规定的相应技术、节能、安全和环保标准；如国家有关部门对供应商的投标产品有强制性规定或要求的，则供应商的投标产品必须符合相应规定或要求。</w:t>
      </w:r>
    </w:p>
    <w:p w14:paraId="2C1E0304">
      <w:pPr>
        <w:rPr>
          <w:rFonts w:hint="eastAsia" w:ascii="Times New Roman" w:hAnsi="Times New Roman" w:eastAsia="宋体" w:cs="Times New Roman"/>
          <w:color w:val="auto"/>
          <w:highlight w:val="none"/>
        </w:rPr>
      </w:pPr>
    </w:p>
    <w:p w14:paraId="0F70F983">
      <w:pPr>
        <w:spacing w:line="360" w:lineRule="auto"/>
        <w:ind w:left="601" w:hanging="60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2、评标标准</w:t>
      </w:r>
    </w:p>
    <w:p w14:paraId="01D81BF9">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2.1  除采购文件中指定的附件和专用工具外，供应商应提供仪器设备的正常运行和常规保养所需的全套标准附件、专用工具和消耗品。供应商在投标书中需列出这些附件和工具的数量和单价的清单，这些附件和工具的报价的总值需计入投标价中。</w:t>
      </w:r>
    </w:p>
    <w:p w14:paraId="00FCFF6C">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2.2  对于标书技术规范中已列出的作为查询选件的附件、零配件、专用工具和消耗品，投标文件中应列明其数量、单价、总价供采购人参考。供应商也可推荐采购人没有要求的附件或专用工具作为选件，并列明其数量、单价、总价供采购人参考。选件价格不计入评标价中。选件一旦为采购人用户接受，其费用将加入合同价中。</w:t>
      </w:r>
    </w:p>
    <w:p w14:paraId="547ABE87">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2.3  为便于用户进行接收仪器的准备工作，供应商应在合同生效后</w:t>
      </w:r>
      <w:r>
        <w:rPr>
          <w:rFonts w:hint="eastAsia" w:ascii="宋体" w:hAnsi="宋体" w:eastAsia="宋体" w:cs="宋体"/>
          <w:b/>
          <w:color w:val="auto"/>
          <w:sz w:val="24"/>
          <w:highlight w:val="none"/>
        </w:rPr>
        <w:t>60</w:t>
      </w:r>
      <w:r>
        <w:rPr>
          <w:rFonts w:hint="eastAsia" w:ascii="宋体" w:hAnsi="宋体" w:eastAsia="宋体" w:cs="宋体"/>
          <w:color w:val="auto"/>
          <w:sz w:val="24"/>
          <w:highlight w:val="none"/>
        </w:rPr>
        <w:t>天内向用户提供一套完整的使用说明书、操作手册、维修及安装说明等文件。另一套完整上述资料应在交货时随货包装提供给用户，这些费用应计入投标价中。</w:t>
      </w:r>
    </w:p>
    <w:p w14:paraId="13CFEAA9">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2.4  关于设备的安装调试，如果有必要的安装准备条件，供应商应在合同生效后一个月内向采购人提出详细的要求或计划。安装调试的费用应计入投标价中，并应单独列出，供评标使用。</w:t>
      </w:r>
    </w:p>
    <w:p w14:paraId="3C4201D5">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2.5  制造厂家提供的培训指的是涉及货物的基本原理、操作使用和保养维修等有关内容的培训。培训教员的培训费、旅费、食宿费等费用和培训场地费及培训资料费均应由供应商支付。</w:t>
      </w:r>
    </w:p>
    <w:p w14:paraId="19294A80">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2.6  在评标过程中，采购人有权向供应商索取任何与评标有关的资料，供应商务必在接到此类要求后，在规定时间内予以答复。对于无答复的供应商，采购人有权拒绝其投标。</w:t>
      </w:r>
    </w:p>
    <w:p w14:paraId="2A8A239A">
      <w:pPr>
        <w:rPr>
          <w:rFonts w:hint="eastAsia" w:ascii="Times New Roman" w:hAnsi="Times New Roman" w:eastAsia="宋体" w:cs="Times New Roman"/>
          <w:color w:val="auto"/>
          <w:highlight w:val="none"/>
        </w:rPr>
      </w:pPr>
    </w:p>
    <w:p w14:paraId="3539F668">
      <w:pPr>
        <w:spacing w:line="360" w:lineRule="auto"/>
        <w:ind w:left="601" w:hanging="60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3、工作条件</w:t>
      </w:r>
    </w:p>
    <w:p w14:paraId="2E3C61F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除非在技术规格中另有说明，所有仪器、设备和系统都应符合下列要求： </w:t>
      </w:r>
    </w:p>
    <w:p w14:paraId="62B4529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3.1  适于在气温为摄氏-40℃～＋50℃和相对湿度为90％的环境条件下运输和贮存。</w:t>
      </w:r>
    </w:p>
    <w:p w14:paraId="3FFAF37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3.2  适于在电源</w:t>
      </w:r>
      <w:r>
        <w:rPr>
          <w:rFonts w:ascii="Times New Roman" w:hAnsi="Times New Roman" w:eastAsia="宋体" w:cs="Times New Roman"/>
          <w:b/>
          <w:color w:val="auto"/>
          <w:sz w:val="24"/>
          <w:highlight w:val="none"/>
        </w:rPr>
        <w:t>220V</w:t>
      </w:r>
      <w:r>
        <w:rPr>
          <w:rFonts w:hint="eastAsia" w:ascii="Times New Roman" w:hAnsi="Times New Roman" w:eastAsia="宋体" w:cs="Times New Roman"/>
          <w:b/>
          <w:color w:val="auto"/>
          <w:sz w:val="24"/>
          <w:highlight w:val="none"/>
        </w:rPr>
        <w:t>（</w:t>
      </w:r>
      <w:r>
        <w:rPr>
          <w:rFonts w:ascii="Times New Roman" w:hAnsi="Times New Roman" w:eastAsia="宋体" w:cs="Times New Roman"/>
          <w:b/>
          <w:color w:val="auto"/>
          <w:sz w:val="24"/>
          <w:highlight w:val="none"/>
        </w:rPr>
        <w:sym w:font="Symbol" w:char="F0B1"/>
      </w:r>
      <w:r>
        <w:rPr>
          <w:rFonts w:ascii="Times New Roman" w:hAnsi="Times New Roman" w:eastAsia="宋体" w:cs="Times New Roman"/>
          <w:b/>
          <w:color w:val="auto"/>
          <w:sz w:val="24"/>
          <w:highlight w:val="none"/>
        </w:rPr>
        <w:t>10</w:t>
      </w:r>
      <w:r>
        <w:rPr>
          <w:rFonts w:hint="eastAsia" w:ascii="Times New Roman" w:hAnsi="Times New Roman" w:eastAsia="宋体" w:cs="Times New Roman"/>
          <w:b/>
          <w:color w:val="auto"/>
          <w:sz w:val="24"/>
          <w:highlight w:val="none"/>
        </w:rPr>
        <w:t>％）</w:t>
      </w:r>
      <w:r>
        <w:rPr>
          <w:rFonts w:ascii="Times New Roman" w:hAnsi="Times New Roman" w:eastAsia="宋体" w:cs="Times New Roman"/>
          <w:b/>
          <w:color w:val="auto"/>
          <w:sz w:val="24"/>
          <w:highlight w:val="none"/>
        </w:rPr>
        <w:t>/50Hz</w:t>
      </w:r>
      <w:r>
        <w:rPr>
          <w:rFonts w:hint="eastAsia" w:ascii="宋体" w:hAnsi="宋体" w:eastAsia="宋体" w:cs="宋体"/>
          <w:color w:val="auto"/>
          <w:sz w:val="24"/>
          <w:highlight w:val="none"/>
        </w:rPr>
        <w:t>、气温摄氏+15℃～＋30℃和相对湿度小于80％的环境条件下运行。能够连续正常工作。</w:t>
      </w:r>
    </w:p>
    <w:p w14:paraId="341987D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3.3  配置符合中国有关标准要求的插头，如果没有这样的插头，则需提供适当的转换插座。</w:t>
      </w:r>
    </w:p>
    <w:p w14:paraId="728BCAB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3.4  如产品达不到上述要求，供应商应注明其偏差。如仪器设备需要特殊工作条件（如水、电源、磁场强度、温度、湿度、动强度等）供应商应在投标书中加以说明。</w:t>
      </w:r>
    </w:p>
    <w:p w14:paraId="5C27DBF3">
      <w:pPr>
        <w:rPr>
          <w:rFonts w:hint="eastAsia" w:ascii="Times New Roman" w:hAnsi="Times New Roman" w:eastAsia="宋体" w:cs="Times New Roman"/>
          <w:color w:val="auto"/>
          <w:highlight w:val="none"/>
        </w:rPr>
      </w:pPr>
    </w:p>
    <w:p w14:paraId="3B395B31">
      <w:pPr>
        <w:spacing w:line="360" w:lineRule="auto"/>
        <w:ind w:left="601" w:hanging="60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4、验收标准</w:t>
      </w:r>
    </w:p>
    <w:p w14:paraId="4BA9BFB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除非在具体要求中另有说明，所有仪器、设备和系统按下列要求进行验收： </w:t>
      </w:r>
    </w:p>
    <w:p w14:paraId="6C300C81">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4.1  仪器设备运抵安装现场后，采购人将与供应商共同开箱验收, 如供应商届时不派人来, 则验收结果应以采购人的验收报告为最终验收结果。验收时发现短缺、破损, 采购人有权要求供应商负责更换。</w:t>
      </w:r>
    </w:p>
    <w:p w14:paraId="0F58D11E">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4.2  验收标准以中标人提供的投标文件中所列的指标为准（该指标应不低于采购文件所要求的指标）。任何虚假指标响应一经发现即作废标，供应商必须承担由此给采购人带来的一切经济损失和其它相关责任。</w:t>
      </w:r>
    </w:p>
    <w:p w14:paraId="6E5D3565">
      <w:pPr>
        <w:spacing w:line="360" w:lineRule="auto"/>
        <w:ind w:left="554" w:hanging="554" w:hangingChars="231"/>
        <w:rPr>
          <w:rFonts w:hint="eastAsia" w:ascii="宋体" w:hAnsi="宋体" w:eastAsia="宋体" w:cs="宋体"/>
          <w:color w:val="auto"/>
          <w:sz w:val="24"/>
          <w:highlight w:val="none"/>
        </w:rPr>
      </w:pPr>
      <w:r>
        <w:rPr>
          <w:rFonts w:hint="eastAsia" w:ascii="宋体" w:hAnsi="宋体" w:eastAsia="宋体" w:cs="宋体"/>
          <w:color w:val="auto"/>
          <w:sz w:val="24"/>
          <w:highlight w:val="none"/>
        </w:rPr>
        <w:t>4.3  验收由采购人、中标人及相关人员依国家有关标准、合同及有关附件要求进行，验收完毕由采购人及中标人在验收报告上签名。</w:t>
      </w:r>
    </w:p>
    <w:p w14:paraId="084B44DA">
      <w:pPr>
        <w:rPr>
          <w:rFonts w:hint="eastAsia" w:ascii="Times New Roman" w:hAnsi="Times New Roman" w:eastAsia="宋体" w:cs="Times New Roman"/>
          <w:color w:val="auto"/>
          <w:highlight w:val="none"/>
        </w:rPr>
      </w:pPr>
    </w:p>
    <w:p w14:paraId="684C73A1">
      <w:pPr>
        <w:spacing w:line="360" w:lineRule="auto"/>
        <w:ind w:left="410" w:hanging="410" w:hangingChars="17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5、本具体要求中标注“★”号的为实质性要求，不满足其投标将被拒绝。</w:t>
      </w:r>
    </w:p>
    <w:p w14:paraId="71338EC4">
      <w:pPr>
        <w:rPr>
          <w:rFonts w:hint="eastAsia" w:ascii="Times New Roman" w:hAnsi="Times New Roman" w:eastAsia="宋体" w:cs="Times New Roman"/>
          <w:color w:val="auto"/>
          <w:highlight w:val="none"/>
        </w:rPr>
      </w:pPr>
    </w:p>
    <w:p w14:paraId="0217C745">
      <w:pPr>
        <w:spacing w:line="360" w:lineRule="auto"/>
        <w:rPr>
          <w:rFonts w:ascii="Times New Roman" w:hAnsi="Times New Roman" w:eastAsia="宋体" w:cs="Times New Roman"/>
          <w:b/>
          <w:color w:val="auto"/>
          <w:sz w:val="24"/>
          <w:highlight w:val="none"/>
        </w:rPr>
      </w:pPr>
      <w:r>
        <w:rPr>
          <w:rFonts w:hint="eastAsia" w:ascii="宋体" w:hAnsi="宋体" w:eastAsia="宋体" w:cs="宋体"/>
          <w:b/>
          <w:color w:val="auto"/>
          <w:sz w:val="24"/>
          <w:highlight w:val="none"/>
        </w:rPr>
        <w:t>6、如在具体要求中有本总则不一致之处，以具体要求中的要求内容为准。</w:t>
      </w:r>
    </w:p>
    <w:p w14:paraId="58485E5C">
      <w:pPr>
        <w:adjustRightInd w:val="0"/>
        <w:snapToGrid w:val="0"/>
        <w:spacing w:before="156" w:beforeLines="50" w:after="156" w:afterLines="50" w:line="360" w:lineRule="auto"/>
        <w:jc w:val="center"/>
        <w:rPr>
          <w:rFonts w:hint="eastAsia" w:ascii="Times New Roman" w:hAnsi="Times New Roman" w:eastAsia="宋体" w:cs="Times New Roman"/>
          <w:color w:val="auto"/>
          <w:highlight w:val="none"/>
        </w:rPr>
      </w:pPr>
      <w:r>
        <w:rPr>
          <w:rFonts w:ascii="Times New Roman" w:hAnsi="Times New Roman" w:eastAsia="宋体" w:cs="Times New Roman"/>
          <w:b/>
          <w:color w:val="auto"/>
          <w:sz w:val="24"/>
          <w:highlight w:val="none"/>
        </w:rPr>
        <w:br w:type="page"/>
      </w:r>
      <w:r>
        <w:rPr>
          <w:rFonts w:hint="eastAsia" w:ascii="宋体" w:hAnsi="宋体" w:eastAsia="宋体" w:cs="Times New Roman"/>
          <w:b/>
          <w:color w:val="auto"/>
          <w:sz w:val="28"/>
          <w:szCs w:val="28"/>
          <w:highlight w:val="none"/>
        </w:rPr>
        <w:t>二、具体要求：</w:t>
      </w:r>
    </w:p>
    <w:p w14:paraId="18DFAFEA">
      <w:pPr>
        <w:jc w:val="center"/>
        <w:rPr>
          <w:rFonts w:ascii="Times New Roman" w:hAnsi="Times New Roman"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rPr>
        <w:t>货物名称：自动光学检测系统</w:t>
      </w:r>
    </w:p>
    <w:p w14:paraId="6749E182">
      <w:pPr>
        <w:pStyle w:val="11"/>
        <w:ind w:firstLine="0" w:firstLineChars="0"/>
        <w:rPr>
          <w:rFonts w:hint="eastAsia" w:hAnsi="宋体" w:eastAsia="宋体"/>
          <w:color w:val="auto"/>
          <w:highlight w:val="none"/>
        </w:rPr>
      </w:pPr>
    </w:p>
    <w:p w14:paraId="17E84ACD">
      <w:pPr>
        <w:rPr>
          <w:rFonts w:hint="eastAsia" w:ascii="Times New Roman" w:hAnsi="Times New Roman" w:eastAsia="宋体" w:cs="Times New Roman"/>
          <w:b/>
          <w:bCs/>
          <w:color w:val="auto"/>
          <w:sz w:val="28"/>
          <w:szCs w:val="28"/>
          <w:highlight w:val="none"/>
        </w:rPr>
      </w:pPr>
      <w:r>
        <w:rPr>
          <w:rFonts w:hint="eastAsia" w:ascii="Times New Roman" w:hAnsi="Times New Roman" w:eastAsia="宋体" w:cs="Times New Roman"/>
          <w:b/>
          <w:bCs/>
          <w:color w:val="auto"/>
          <w:sz w:val="28"/>
          <w:szCs w:val="28"/>
          <w:highlight w:val="none"/>
        </w:rPr>
        <w:t>（一）技术要求</w:t>
      </w:r>
    </w:p>
    <w:p w14:paraId="6DF1D22A">
      <w:pPr>
        <w:pStyle w:val="2"/>
        <w:spacing w:after="0" w:line="360" w:lineRule="auto"/>
        <w:ind w:left="0" w:leftChars="0" w:firstLine="0" w:firstLineChars="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1、工作条件：</w:t>
      </w:r>
    </w:p>
    <w:p w14:paraId="3CE742F3">
      <w:pPr>
        <w:spacing w:line="360" w:lineRule="auto"/>
        <w:ind w:firstLine="240" w:firstLineChars="100"/>
        <w:rPr>
          <w:rFonts w:hint="eastAsia" w:ascii="宋体" w:hAnsi="宋体" w:eastAsia="宋体" w:cs="宋体"/>
          <w:color w:val="auto"/>
          <w:position w:val="-20"/>
          <w:sz w:val="24"/>
          <w:highlight w:val="none"/>
        </w:rPr>
      </w:pPr>
      <w:r>
        <w:rPr>
          <w:rFonts w:hint="eastAsia" w:ascii="宋体" w:hAnsi="宋体" w:eastAsia="宋体" w:cs="宋体"/>
          <w:color w:val="auto"/>
          <w:position w:val="-20"/>
          <w:sz w:val="24"/>
          <w:highlight w:val="none"/>
        </w:rPr>
        <w:t>1.1 电源：单相AC 220V，50Hz、</w:t>
      </w:r>
      <w:r>
        <w:rPr>
          <w:rFonts w:ascii="宋体" w:hAnsi="宋体" w:eastAsia="宋体" w:cs="宋体"/>
          <w:color w:val="auto"/>
          <w:position w:val="-20"/>
          <w:sz w:val="24"/>
          <w:highlight w:val="none"/>
        </w:rPr>
        <w:t>40</w:t>
      </w:r>
      <w:r>
        <w:rPr>
          <w:rFonts w:hint="eastAsia" w:ascii="宋体" w:hAnsi="宋体" w:eastAsia="宋体" w:cs="宋体"/>
          <w:color w:val="auto"/>
          <w:position w:val="-20"/>
          <w:sz w:val="24"/>
          <w:highlight w:val="none"/>
        </w:rPr>
        <w:t>A、7.5kW；</w:t>
      </w:r>
    </w:p>
    <w:p w14:paraId="69C11ABC">
      <w:pPr>
        <w:spacing w:line="360" w:lineRule="auto"/>
        <w:ind w:firstLine="240" w:firstLineChars="100"/>
        <w:rPr>
          <w:rFonts w:hint="eastAsia" w:ascii="宋体" w:hAnsi="宋体" w:eastAsia="宋体" w:cs="宋体"/>
          <w:color w:val="auto"/>
          <w:position w:val="-20"/>
          <w:sz w:val="24"/>
          <w:highlight w:val="none"/>
        </w:rPr>
      </w:pPr>
      <w:r>
        <w:rPr>
          <w:rFonts w:hint="eastAsia" w:ascii="宋体" w:hAnsi="宋体" w:eastAsia="宋体" w:cs="宋体"/>
          <w:color w:val="auto"/>
          <w:position w:val="-20"/>
          <w:sz w:val="24"/>
          <w:highlight w:val="none"/>
        </w:rPr>
        <w:t>1.2 预真空：-70kpa</w:t>
      </w:r>
      <w:r>
        <w:rPr>
          <w:rFonts w:ascii="宋体" w:hAnsi="宋体" w:eastAsia="宋体" w:cs="宋体"/>
          <w:color w:val="auto"/>
          <w:position w:val="-20"/>
          <w:sz w:val="24"/>
          <w:highlight w:val="none"/>
        </w:rPr>
        <w:t>~</w:t>
      </w:r>
      <w:r>
        <w:rPr>
          <w:rFonts w:hint="eastAsia" w:ascii="宋体" w:hAnsi="宋体" w:eastAsia="宋体" w:cs="宋体"/>
          <w:color w:val="auto"/>
          <w:position w:val="-20"/>
          <w:sz w:val="24"/>
          <w:highlight w:val="none"/>
        </w:rPr>
        <w:t>-90kpa；</w:t>
      </w:r>
    </w:p>
    <w:p w14:paraId="00CCE5CA">
      <w:pPr>
        <w:spacing w:line="360" w:lineRule="auto"/>
        <w:ind w:firstLine="240" w:firstLineChars="100"/>
        <w:rPr>
          <w:rFonts w:hint="eastAsia" w:ascii="宋体" w:hAnsi="宋体" w:eastAsia="宋体" w:cs="宋体"/>
          <w:color w:val="auto"/>
          <w:position w:val="-20"/>
          <w:sz w:val="24"/>
          <w:highlight w:val="none"/>
        </w:rPr>
      </w:pPr>
      <w:r>
        <w:rPr>
          <w:rFonts w:hint="eastAsia" w:ascii="宋体" w:hAnsi="宋体" w:eastAsia="宋体" w:cs="宋体"/>
          <w:color w:val="auto"/>
          <w:position w:val="-20"/>
          <w:sz w:val="24"/>
          <w:highlight w:val="none"/>
        </w:rPr>
        <w:t>1.3 压缩空气：0.4-0.</w:t>
      </w:r>
      <w:r>
        <w:rPr>
          <w:rFonts w:ascii="宋体" w:hAnsi="宋体" w:eastAsia="宋体" w:cs="宋体"/>
          <w:color w:val="auto"/>
          <w:position w:val="-20"/>
          <w:sz w:val="24"/>
          <w:highlight w:val="none"/>
        </w:rPr>
        <w:t>6</w:t>
      </w:r>
      <w:r>
        <w:rPr>
          <w:rFonts w:hint="eastAsia" w:ascii="宋体" w:hAnsi="宋体" w:eastAsia="宋体" w:cs="宋体"/>
          <w:color w:val="auto"/>
          <w:position w:val="-20"/>
          <w:sz w:val="24"/>
          <w:highlight w:val="none"/>
        </w:rPr>
        <w:t>Mpa；</w:t>
      </w:r>
    </w:p>
    <w:p w14:paraId="32EC4307">
      <w:pPr>
        <w:spacing w:line="360" w:lineRule="auto"/>
        <w:ind w:firstLine="240" w:firstLineChars="100"/>
        <w:rPr>
          <w:rFonts w:hint="eastAsia" w:ascii="宋体" w:hAnsi="宋体" w:eastAsia="宋体" w:cs="宋体"/>
          <w:color w:val="auto"/>
          <w:position w:val="-20"/>
          <w:sz w:val="24"/>
          <w:highlight w:val="none"/>
        </w:rPr>
      </w:pPr>
      <w:r>
        <w:rPr>
          <w:rFonts w:hint="eastAsia" w:ascii="宋体" w:hAnsi="宋体" w:eastAsia="宋体" w:cs="宋体"/>
          <w:color w:val="auto"/>
          <w:position w:val="-20"/>
          <w:sz w:val="24"/>
          <w:highlight w:val="none"/>
        </w:rPr>
        <w:t>1.4 防振等级：VC-B;</w:t>
      </w:r>
    </w:p>
    <w:p w14:paraId="3D3FA335">
      <w:pPr>
        <w:spacing w:line="360" w:lineRule="auto"/>
        <w:ind w:firstLine="240" w:firstLineChars="100"/>
        <w:rPr>
          <w:rFonts w:hint="eastAsia" w:ascii="宋体" w:hAnsi="宋体" w:eastAsia="宋体" w:cs="宋体"/>
          <w:color w:val="auto"/>
          <w:position w:val="-20"/>
          <w:sz w:val="24"/>
          <w:highlight w:val="none"/>
        </w:rPr>
      </w:pPr>
      <w:r>
        <w:rPr>
          <w:rFonts w:hint="eastAsia" w:ascii="宋体" w:hAnsi="宋体" w:eastAsia="宋体" w:cs="宋体"/>
          <w:color w:val="auto"/>
          <w:position w:val="-20"/>
          <w:sz w:val="24"/>
          <w:highlight w:val="none"/>
        </w:rPr>
        <w:t>1.5 设备所需地板承重：≤1100kg/m</w:t>
      </w:r>
      <w:r>
        <w:rPr>
          <w:rFonts w:hint="eastAsia" w:ascii="宋体" w:hAnsi="宋体" w:eastAsia="宋体" w:cs="宋体"/>
          <w:color w:val="auto"/>
          <w:position w:val="-20"/>
          <w:sz w:val="24"/>
          <w:highlight w:val="none"/>
          <w:vertAlign w:val="superscript"/>
        </w:rPr>
        <w:t>2</w:t>
      </w:r>
      <w:r>
        <w:rPr>
          <w:rFonts w:hint="eastAsia" w:ascii="宋体" w:hAnsi="宋体" w:eastAsia="宋体" w:cs="宋体"/>
          <w:color w:val="auto"/>
          <w:position w:val="-20"/>
          <w:sz w:val="24"/>
          <w:highlight w:val="none"/>
        </w:rPr>
        <w:t>；</w:t>
      </w:r>
    </w:p>
    <w:p w14:paraId="0CD99F5B">
      <w:pPr>
        <w:spacing w:line="360" w:lineRule="auto"/>
        <w:ind w:firstLine="240" w:firstLineChars="100"/>
        <w:rPr>
          <w:rFonts w:hint="eastAsia" w:ascii="Times New Roman" w:hAnsi="Times New Roman" w:eastAsia="宋体" w:cs="Times New Roman"/>
          <w:color w:val="auto"/>
          <w:highlight w:val="none"/>
        </w:rPr>
      </w:pPr>
      <w:r>
        <w:rPr>
          <w:rFonts w:hint="eastAsia" w:ascii="宋体" w:hAnsi="宋体" w:eastAsia="宋体" w:cs="宋体"/>
          <w:color w:val="auto"/>
          <w:position w:val="-20"/>
          <w:sz w:val="24"/>
          <w:highlight w:val="none"/>
        </w:rPr>
        <w:t>1.6 环境：百级洁净室，温度：18-26℃，湿度：40-70%。</w:t>
      </w:r>
    </w:p>
    <w:p w14:paraId="0F91666C">
      <w:pPr>
        <w:widowControl/>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2、购置理由及用途：</w:t>
      </w:r>
    </w:p>
    <w:p w14:paraId="642842A8">
      <w:pPr>
        <w:pStyle w:val="12"/>
        <w:widowControl/>
        <w:adjustRightInd/>
        <w:snapToGrid/>
        <w:rPr>
          <w:rFonts w:hint="eastAsia" w:ascii="宋体" w:hAnsi="宋体" w:eastAsia="宋体" w:cs="宋体"/>
          <w:color w:val="auto"/>
          <w:highlight w:val="none"/>
        </w:rPr>
      </w:pPr>
      <w:r>
        <w:rPr>
          <w:rFonts w:hint="eastAsia" w:ascii="宋体" w:hAnsi="宋体" w:eastAsia="宋体" w:cs="宋体"/>
          <w:color w:val="auto"/>
          <w:highlight w:val="none"/>
        </w:rPr>
        <w:t>主要用来进行晶圆键合前衬底表面及器件工艺后图形的晶圆级表面颗粒、缺陷检测监控。相关基板材料包括硅、砷化镓、磷化铟、碳化硅、氮化镓、金刚石等材料，基板可对应为透明、半透明或者不透明材质。</w:t>
      </w:r>
    </w:p>
    <w:p w14:paraId="3C16CDCB">
      <w:pPr>
        <w:rPr>
          <w:rFonts w:hint="eastAsia" w:ascii="Times New Roman" w:hAnsi="Times New Roman" w:eastAsia="宋体" w:cs="Times New Roman"/>
          <w:color w:val="auto"/>
          <w:highlight w:val="none"/>
        </w:rPr>
      </w:pPr>
    </w:p>
    <w:p w14:paraId="21816389">
      <w:pPr>
        <w:widowControl/>
        <w:tabs>
          <w:tab w:val="left" w:pos="8010"/>
        </w:tabs>
        <w:spacing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3、技术要求及参数：</w:t>
      </w:r>
      <w:r>
        <w:rPr>
          <w:rFonts w:hint="eastAsia" w:ascii="宋体" w:hAnsi="宋体" w:eastAsia="宋体" w:cs="宋体"/>
          <w:color w:val="auto"/>
          <w:sz w:val="24"/>
          <w:highlight w:val="none"/>
        </w:rPr>
        <w:t xml:space="preserve"> </w:t>
      </w:r>
    </w:p>
    <w:p w14:paraId="1A910A13">
      <w:pPr>
        <w:pStyle w:val="3"/>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3.1设备总体技术要求：</w:t>
      </w:r>
    </w:p>
    <w:p w14:paraId="3F623F28">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设备配置主要包括光学成像系统、机械运动与载台系统、软件与控制系统三个部分。需实现如下4个功能：</w:t>
      </w:r>
    </w:p>
    <w:p w14:paraId="0C29BE73">
      <w:pPr>
        <w:widowControl/>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（1）准确表征晶圆表面颗粒和缺陷大小、数量、分布的情况；</w:t>
      </w:r>
    </w:p>
    <w:p w14:paraId="3A0B96CC">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（2）快速实现全晶圆表面的Mapping测量；</w:t>
      </w:r>
    </w:p>
    <w:p w14:paraId="372B9E83">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（3）检查的过程不能引入二次污染；</w:t>
      </w:r>
    </w:p>
    <w:p w14:paraId="23352AFC">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（4）可以用于SiC、金刚石、GaN等材料表面状态检测。</w:t>
      </w:r>
    </w:p>
    <w:p w14:paraId="7BE2F18F">
      <w:pPr>
        <w:pStyle w:val="3"/>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3.2详细需求如下：</w:t>
      </w:r>
    </w:p>
    <w:p w14:paraId="3A28F517">
      <w:pPr>
        <w:pStyle w:val="2"/>
        <w:spacing w:after="0" w:line="360" w:lineRule="auto"/>
        <w:ind w:firstLine="4" w:firstLineChars="2"/>
        <w:rPr>
          <w:rFonts w:hint="eastAsia" w:ascii="宋体" w:hAnsi="宋体" w:eastAsia="宋体" w:cs="宋体"/>
          <w:color w:val="auto"/>
          <w:sz w:val="24"/>
          <w:highlight w:val="none"/>
        </w:rPr>
      </w:pPr>
      <w:r>
        <w:rPr>
          <w:rFonts w:hint="eastAsia" w:ascii="宋体" w:hAnsi="宋体" w:eastAsia="宋体" w:cs="宋体"/>
          <w:color w:val="auto"/>
          <w:sz w:val="24"/>
          <w:highlight w:val="none"/>
        </w:rPr>
        <w:t>3.2.1光学成像系统包括：光源、缺陷检测光学镜组；对准模块光学镜组；控制、图像摄取及数据处理计算机等。</w:t>
      </w:r>
    </w:p>
    <w:p w14:paraId="3CDD05D2">
      <w:pPr>
        <w:pStyle w:val="2"/>
        <w:spacing w:after="0" w:line="360" w:lineRule="auto"/>
        <w:ind w:firstLine="4" w:firstLineChars="2"/>
        <w:rPr>
          <w:rStyle w:val="10"/>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★3.2.1.1 最小检出颗粒≤100nm</w:t>
      </w:r>
      <w:r>
        <w:rPr>
          <w:rStyle w:val="10"/>
          <w:rFonts w:hint="eastAsia" w:ascii="宋体" w:hAnsi="宋体" w:eastAsia="宋体" w:cs="宋体"/>
          <w:color w:val="auto"/>
          <w:sz w:val="24"/>
          <w:szCs w:val="24"/>
          <w:highlight w:val="none"/>
        </w:rPr>
        <w:t>；</w:t>
      </w:r>
    </w:p>
    <w:p w14:paraId="7F79A815">
      <w:pPr>
        <w:pStyle w:val="2"/>
        <w:spacing w:after="0" w:line="360" w:lineRule="auto"/>
        <w:ind w:left="0" w:leftChars="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★3.2.1.2 具备明场、暗场及光致发光检测通道；</w:t>
      </w:r>
    </w:p>
    <w:p w14:paraId="127F9ECC">
      <w:pPr>
        <w:pStyle w:val="2"/>
        <w:spacing w:after="0" w:line="360" w:lineRule="auto"/>
        <w:ind w:firstLine="0" w:firstLineChars="0"/>
        <w:rPr>
          <w:rFonts w:ascii="宋体" w:hAnsi="宋体" w:eastAsia="宋体" w:cs="宋体"/>
          <w:color w:val="auto"/>
          <w:sz w:val="24"/>
          <w:highlight w:val="none"/>
        </w:rPr>
      </w:pPr>
      <w:r>
        <w:rPr>
          <w:rFonts w:hint="eastAsia" w:ascii="宋体" w:hAnsi="宋体" w:eastAsia="宋体" w:cs="宋体"/>
          <w:color w:val="auto"/>
          <w:sz w:val="24"/>
          <w:highlight w:val="none"/>
        </w:rPr>
        <w:t>▲3.2.1.3 暗场检测单元具备激光光源（提供激光光路图）；</w:t>
      </w:r>
    </w:p>
    <w:p w14:paraId="6E5DFCF1">
      <w:pPr>
        <w:pStyle w:val="2"/>
        <w:spacing w:after="0" w:line="360" w:lineRule="auto"/>
        <w:ind w:left="660" w:hanging="240" w:hangingChars="100"/>
        <w:rPr>
          <w:rFonts w:ascii="宋体" w:hAnsi="宋体" w:eastAsia="宋体" w:cs="宋体"/>
          <w:color w:val="auto"/>
          <w:sz w:val="24"/>
          <w:highlight w:val="none"/>
        </w:rPr>
      </w:pPr>
      <w:r>
        <w:rPr>
          <w:rFonts w:hint="eastAsia" w:ascii="宋体" w:hAnsi="宋体" w:eastAsia="宋体" w:cs="宋体"/>
          <w:color w:val="auto"/>
          <w:sz w:val="24"/>
          <w:highlight w:val="none"/>
        </w:rPr>
        <w:t>▲3.2.1.</w:t>
      </w:r>
      <w:r>
        <w:rPr>
          <w:rFonts w:ascii="宋体" w:hAnsi="宋体" w:eastAsia="宋体" w:cs="宋体"/>
          <w:color w:val="auto"/>
          <w:sz w:val="24"/>
          <w:highlight w:val="none"/>
        </w:rPr>
        <w:t>4</w:t>
      </w:r>
      <w:r>
        <w:rPr>
          <w:rFonts w:hint="eastAsia" w:ascii="宋体" w:hAnsi="宋体" w:eastAsia="宋体" w:cs="宋体"/>
          <w:color w:val="auto"/>
          <w:sz w:val="24"/>
          <w:highlight w:val="none"/>
        </w:rPr>
        <w:t>光致发光（PL）检测通道配备激光光源(提供激光光路图)；</w:t>
      </w:r>
    </w:p>
    <w:p w14:paraId="5A2556F1">
      <w:pPr>
        <w:pStyle w:val="2"/>
        <w:spacing w:after="0" w:line="360" w:lineRule="auto"/>
        <w:ind w:left="0" w:leftChars="0" w:firstLine="480"/>
        <w:rPr>
          <w:rFonts w:ascii="宋体" w:hAnsi="宋体" w:eastAsia="宋体" w:cs="宋体"/>
          <w:color w:val="auto"/>
          <w:sz w:val="24"/>
          <w:highlight w:val="none"/>
        </w:rPr>
      </w:pPr>
      <w:r>
        <w:rPr>
          <w:rFonts w:hint="eastAsia" w:ascii="宋体" w:hAnsi="宋体" w:eastAsia="宋体" w:cs="宋体"/>
          <w:color w:val="auto"/>
          <w:sz w:val="24"/>
          <w:highlight w:val="none"/>
        </w:rPr>
        <w:t>3.2.1.</w:t>
      </w:r>
      <w:r>
        <w:rPr>
          <w:rFonts w:ascii="宋体" w:hAnsi="宋体" w:eastAsia="宋体" w:cs="宋体"/>
          <w:color w:val="auto"/>
          <w:sz w:val="24"/>
          <w:highlight w:val="none"/>
        </w:rPr>
        <w:t>5</w:t>
      </w:r>
      <w:r>
        <w:rPr>
          <w:rFonts w:hint="eastAsia" w:ascii="宋体" w:hAnsi="宋体" w:eastAsia="宋体" w:cs="宋体"/>
          <w:color w:val="auto"/>
          <w:sz w:val="24"/>
          <w:highlight w:val="none"/>
        </w:rPr>
        <w:t xml:space="preserve"> 具备自动聚焦功能；</w:t>
      </w:r>
    </w:p>
    <w:p w14:paraId="396159F5">
      <w:pPr>
        <w:pStyle w:val="2"/>
        <w:spacing w:after="0" w:line="36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3.2.2机械运动与载台系统包括：高精度XY运动平台；机械手臂站；晶圆上下料组件等。</w:t>
      </w:r>
    </w:p>
    <w:p w14:paraId="72F66CF1">
      <w:pPr>
        <w:pStyle w:val="2"/>
        <w:spacing w:after="0" w:line="360" w:lineRule="auto"/>
        <w:ind w:firstLine="4" w:firstLineChars="2"/>
        <w:rPr>
          <w:rFonts w:hint="eastAsia" w:ascii="宋体" w:hAnsi="宋体" w:eastAsia="宋体" w:cs="宋体"/>
          <w:color w:val="auto"/>
          <w:sz w:val="24"/>
          <w:highlight w:val="none"/>
        </w:rPr>
      </w:pPr>
      <w:r>
        <w:rPr>
          <w:rFonts w:hint="eastAsia" w:ascii="宋体" w:hAnsi="宋体" w:eastAsia="宋体" w:cs="宋体"/>
          <w:color w:val="auto"/>
          <w:sz w:val="24"/>
          <w:highlight w:val="none"/>
        </w:rPr>
        <w:t>★3.2.2.1 测量晶圆大小： 6英寸及向下兼容（SiC晶圆：6、4英寸；金刚石晶圆：2英寸）；</w:t>
      </w:r>
    </w:p>
    <w:p w14:paraId="32BB0399">
      <w:pPr>
        <w:pStyle w:val="2"/>
        <w:spacing w:after="0" w:line="360" w:lineRule="auto"/>
        <w:ind w:firstLine="4" w:firstLineChars="2"/>
        <w:rPr>
          <w:rFonts w:hint="eastAsia" w:ascii="宋体" w:hAnsi="宋体" w:eastAsia="宋体" w:cs="宋体"/>
          <w:color w:val="auto"/>
          <w:sz w:val="24"/>
          <w:highlight w:val="none"/>
        </w:rPr>
      </w:pPr>
      <w:r>
        <w:rPr>
          <w:rFonts w:hint="eastAsia" w:ascii="宋体" w:hAnsi="宋体" w:eastAsia="宋体" w:cs="宋体"/>
          <w:color w:val="auto"/>
          <w:sz w:val="24"/>
          <w:highlight w:val="none"/>
        </w:rPr>
        <w:t>▲3.2.2.2 可兼容8英寸晶圆（提供8英寸样片实测缺陷分布及统计结果）；</w:t>
      </w:r>
    </w:p>
    <w:p w14:paraId="33CF88F7">
      <w:pPr>
        <w:pStyle w:val="2"/>
        <w:spacing w:after="0" w:line="360" w:lineRule="auto"/>
        <w:ind w:firstLine="4" w:firstLineChars="2"/>
        <w:rPr>
          <w:rFonts w:hint="eastAsia" w:ascii="宋体" w:hAnsi="宋体" w:eastAsia="宋体" w:cs="宋体"/>
          <w:color w:val="auto"/>
          <w:sz w:val="24"/>
          <w:highlight w:val="none"/>
        </w:rPr>
      </w:pPr>
      <w:r>
        <w:rPr>
          <w:rFonts w:hint="eastAsia" w:ascii="宋体" w:hAnsi="宋体" w:eastAsia="宋体" w:cs="宋体"/>
          <w:color w:val="auto"/>
          <w:sz w:val="24"/>
          <w:highlight w:val="none"/>
        </w:rPr>
        <w:t>▲3.2.2.3 可兼容不规则片(提供不规则样片实测缺陷分布及统计结果)；</w:t>
      </w:r>
    </w:p>
    <w:p w14:paraId="23C23D10">
      <w:pPr>
        <w:pStyle w:val="2"/>
        <w:spacing w:after="0" w:line="360" w:lineRule="auto"/>
        <w:ind w:firstLine="4" w:firstLineChars="2"/>
        <w:rPr>
          <w:rStyle w:val="10"/>
          <w:rFonts w:ascii="宋体" w:hAnsi="宋体" w:eastAsia="宋体" w:cs="宋体"/>
          <w:color w:val="auto"/>
          <w:sz w:val="24"/>
          <w:szCs w:val="24"/>
          <w:highlight w:val="none"/>
        </w:rPr>
      </w:pPr>
      <w:r>
        <w:rPr>
          <w:rFonts w:hint="eastAsia" w:ascii="宋体" w:hAnsi="宋体" w:eastAsia="宋体" w:cs="宋体"/>
          <w:color w:val="auto"/>
          <w:sz w:val="24"/>
          <w:highlight w:val="none"/>
        </w:rPr>
        <w:t>▲3.2.2.4 适用晶圆材料：Si、SiC、InP、GaN、GaAs、金刚石等材料(提供各晶圆材料的实测缺陷分布及统计结果)</w:t>
      </w:r>
      <w:r>
        <w:rPr>
          <w:rStyle w:val="10"/>
          <w:rFonts w:hint="eastAsia" w:ascii="宋体" w:hAnsi="宋体" w:eastAsia="宋体" w:cs="宋体"/>
          <w:color w:val="auto"/>
          <w:sz w:val="24"/>
          <w:szCs w:val="24"/>
          <w:highlight w:val="none"/>
        </w:rPr>
        <w:t>；</w:t>
      </w:r>
    </w:p>
    <w:p w14:paraId="71881F32">
      <w:pPr>
        <w:pStyle w:val="2"/>
        <w:spacing w:after="0" w:line="36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▲3.2.2.</w:t>
      </w:r>
      <w:r>
        <w:rPr>
          <w:rFonts w:ascii="宋体" w:hAnsi="宋体" w:eastAsia="宋体" w:cs="宋体"/>
          <w:color w:val="auto"/>
          <w:sz w:val="24"/>
          <w:highlight w:val="none"/>
        </w:rPr>
        <w:t>5</w:t>
      </w:r>
      <w:r>
        <w:rPr>
          <w:rFonts w:hint="eastAsia" w:ascii="宋体" w:hAnsi="宋体" w:eastAsia="宋体" w:cs="宋体"/>
          <w:color w:val="auto"/>
          <w:sz w:val="24"/>
          <w:highlight w:val="none"/>
        </w:rPr>
        <w:t xml:space="preserve"> 可测量晶圆厚度：300μm~1500μm，翘曲度：≤200μm（提供设置配方截图）；</w:t>
      </w:r>
    </w:p>
    <w:p w14:paraId="0B5A83DE">
      <w:pPr>
        <w:pStyle w:val="2"/>
        <w:spacing w:after="0"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3.2.2.</w:t>
      </w:r>
      <w:r>
        <w:rPr>
          <w:rFonts w:ascii="宋体" w:hAnsi="宋体" w:eastAsia="宋体" w:cs="宋体"/>
          <w:color w:val="auto"/>
          <w:sz w:val="24"/>
          <w:highlight w:val="none"/>
        </w:rPr>
        <w:t>6</w:t>
      </w:r>
      <w:r>
        <w:rPr>
          <w:rFonts w:hint="eastAsia" w:ascii="宋体" w:hAnsi="宋体" w:eastAsia="宋体" w:cs="宋体"/>
          <w:color w:val="auto"/>
          <w:sz w:val="24"/>
          <w:highlight w:val="none"/>
        </w:rPr>
        <w:t xml:space="preserve"> 具有预对准功能，能自动对准中心与对准晶圆缺口或平边；</w:t>
      </w:r>
    </w:p>
    <w:p w14:paraId="6D3C5EDB">
      <w:pPr>
        <w:pStyle w:val="2"/>
        <w:spacing w:after="0" w:line="360" w:lineRule="auto"/>
        <w:ind w:firstLine="0" w:firstLineChars="0"/>
        <w:rPr>
          <w:rFonts w:ascii="宋体" w:hAnsi="宋体" w:eastAsia="宋体" w:cs="宋体"/>
          <w:color w:val="auto"/>
          <w:sz w:val="24"/>
          <w:highlight w:val="none"/>
        </w:rPr>
      </w:pPr>
      <w:r>
        <w:rPr>
          <w:rFonts w:hint="eastAsia" w:ascii="宋体" w:hAnsi="宋体" w:eastAsia="宋体" w:cs="宋体"/>
          <w:color w:val="auto"/>
          <w:sz w:val="24"/>
          <w:highlight w:val="none"/>
        </w:rPr>
        <w:t>▲3.2.2.</w:t>
      </w:r>
      <w:r>
        <w:rPr>
          <w:rFonts w:ascii="宋体" w:hAnsi="宋体" w:eastAsia="宋体" w:cs="宋体"/>
          <w:color w:val="auto"/>
          <w:sz w:val="24"/>
          <w:highlight w:val="none"/>
        </w:rPr>
        <w:t>7</w:t>
      </w:r>
      <w:r>
        <w:rPr>
          <w:rFonts w:hint="eastAsia" w:ascii="宋体" w:hAnsi="宋体" w:eastAsia="宋体" w:cs="宋体"/>
          <w:color w:val="auto"/>
          <w:sz w:val="24"/>
          <w:highlight w:val="none"/>
        </w:rPr>
        <w:t xml:space="preserve"> 上下料方式：自动上片兼容手动模式。</w:t>
      </w:r>
    </w:p>
    <w:p w14:paraId="5215C078">
      <w:pPr>
        <w:pStyle w:val="2"/>
        <w:spacing w:after="0" w:line="36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3.2.3软件与控制系统包括：控制程序、缺陷识别算法、图像处理模块、用户界面等。</w:t>
      </w:r>
    </w:p>
    <w:p w14:paraId="0869FB8E">
      <w:pPr>
        <w:pStyle w:val="2"/>
        <w:spacing w:after="0"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3.2.3.1 可识别缺陷类型包括颗粒、划痕、凹坑、凸起、色斑/沾污、位错、层错；</w:t>
      </w:r>
    </w:p>
    <w:p w14:paraId="0AD647EE">
      <w:pPr>
        <w:pStyle w:val="2"/>
        <w:spacing w:after="0" w:line="360" w:lineRule="auto"/>
        <w:ind w:left="0" w:leftChars="0" w:firstLine="480"/>
        <w:rPr>
          <w:rFonts w:ascii="宋体" w:hAnsi="宋体" w:eastAsia="宋体" w:cs="宋体"/>
          <w:color w:val="auto"/>
          <w:sz w:val="24"/>
          <w:highlight w:val="none"/>
        </w:rPr>
      </w:pPr>
      <w:r>
        <w:rPr>
          <w:rFonts w:hint="eastAsia" w:ascii="宋体" w:hAnsi="宋体" w:eastAsia="宋体" w:cs="宋体"/>
          <w:color w:val="auto"/>
          <w:sz w:val="24"/>
          <w:highlight w:val="none"/>
        </w:rPr>
        <w:t>▲3.2.3.2 具有定点缺陷观察和拍照功能(提供各类可识别缺陷的实拍采集图片)；</w:t>
      </w:r>
    </w:p>
    <w:p w14:paraId="344EC31A">
      <w:pPr>
        <w:pStyle w:val="2"/>
        <w:spacing w:after="0" w:line="360" w:lineRule="auto"/>
        <w:ind w:left="0" w:leftChars="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ascii="宋体" w:hAnsi="宋体" w:eastAsia="宋体" w:cs="宋体"/>
          <w:color w:val="auto"/>
          <w:sz w:val="24"/>
          <w:highlight w:val="none"/>
        </w:rPr>
        <w:t>3.2.3.3</w:t>
      </w:r>
      <w:r>
        <w:rPr>
          <w:rFonts w:hint="eastAsia" w:ascii="宋体" w:hAnsi="宋体" w:eastAsia="宋体" w:cs="宋体"/>
          <w:color w:val="auto"/>
          <w:sz w:val="24"/>
          <w:highlight w:val="none"/>
        </w:rPr>
        <w:t>具备自动生成全晶圆Wafer Map缺陷分布图及统计功能</w:t>
      </w:r>
      <w:r>
        <w:rPr>
          <w:rFonts w:ascii="宋体" w:hAnsi="宋体" w:eastAsia="宋体" w:cs="宋体"/>
          <w:color w:val="auto"/>
          <w:sz w:val="24"/>
          <w:highlight w:val="none"/>
        </w:rPr>
        <w:t>；</w:t>
      </w:r>
    </w:p>
    <w:p w14:paraId="69F386F6">
      <w:pPr>
        <w:pStyle w:val="2"/>
        <w:spacing w:after="0" w:line="36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★3.2.3.4 支持配方(recipe)与参数(parameter)的导出功能（excel、txt等通用格式）；</w:t>
      </w:r>
    </w:p>
    <w:p w14:paraId="41C3C79B">
      <w:pPr>
        <w:pStyle w:val="2"/>
        <w:spacing w:after="0" w:line="36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▲3.2.3.5 检查重复精度：相对标准偏差（CV）≤5%(单片PSL Si晶圆重复测试10次，缺陷数量标准差/平均值)；</w:t>
      </w:r>
    </w:p>
    <w:p w14:paraId="0D7AA562">
      <w:pPr>
        <w:pStyle w:val="2"/>
        <w:spacing w:after="0" w:line="360" w:lineRule="auto"/>
        <w:ind w:left="479" w:leftChars="228"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3.2.3.6 配有片盒内硅片状态扫描与识别（片盒硅片数量、槽内有/无硅片、硅片错槽）功能。</w:t>
      </w:r>
    </w:p>
    <w:p w14:paraId="3291CD82">
      <w:pPr>
        <w:rPr>
          <w:rFonts w:hint="eastAsia" w:ascii="Times New Roman" w:hAnsi="Times New Roman" w:eastAsia="宋体" w:cs="Times New Roman"/>
          <w:color w:val="auto"/>
          <w:highlight w:val="none"/>
        </w:rPr>
      </w:pPr>
    </w:p>
    <w:p w14:paraId="41EAEB9A">
      <w:pPr>
        <w:widowControl/>
        <w:snapToGrid w:val="0"/>
        <w:spacing w:before="156" w:beforeLines="50" w:line="360" w:lineRule="auto"/>
        <w:rPr>
          <w:rFonts w:ascii="Times New Roman" w:hAnsi="Times New Roman" w:eastAsia="宋体" w:cs="Times New Roman"/>
          <w:b/>
          <w:color w:val="auto"/>
          <w:sz w:val="24"/>
          <w:highlight w:val="none"/>
        </w:rPr>
      </w:pPr>
      <w:r>
        <w:rPr>
          <w:rFonts w:hint="eastAsia" w:ascii="宋体" w:hAnsi="宋体" w:eastAsia="宋体" w:cs="宋体"/>
          <w:color w:val="auto"/>
          <w:sz w:val="24"/>
          <w:highlight w:val="none"/>
        </w:rPr>
        <w:t>★</w:t>
      </w:r>
      <w:r>
        <w:rPr>
          <w:rFonts w:ascii="Times New Roman" w:hAnsi="Times New Roman" w:eastAsia="宋体" w:cs="Times New Roman"/>
          <w:b/>
          <w:color w:val="auto"/>
          <w:sz w:val="24"/>
          <w:highlight w:val="none"/>
        </w:rPr>
        <w:t>4、配置清单及零配件（包括专用工具）：</w:t>
      </w:r>
    </w:p>
    <w:tbl>
      <w:tblPr>
        <w:tblStyle w:val="8"/>
        <w:tblW w:w="9067" w:type="dxa"/>
        <w:jc w:val="center"/>
        <w:tblLayout w:type="fixed"/>
        <w:tblCellMar>
          <w:top w:w="0" w:type="dxa"/>
          <w:left w:w="108" w:type="dxa"/>
          <w:bottom w:w="0" w:type="dxa"/>
          <w:right w:w="108" w:type="dxa"/>
        </w:tblCellMar>
      </w:tblPr>
      <w:tblGrid>
        <w:gridCol w:w="950"/>
        <w:gridCol w:w="6122"/>
        <w:gridCol w:w="974"/>
        <w:gridCol w:w="1021"/>
      </w:tblGrid>
      <w:tr w14:paraId="52937FFF">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4E88AE4B">
            <w:pPr>
              <w:widowControl/>
              <w:snapToGrid w:val="0"/>
              <w:spacing w:before="156" w:beforeLines="50" w:line="360" w:lineRule="auto"/>
              <w:jc w:val="center"/>
              <w:rPr>
                <w:rFonts w:ascii="Times New Roman" w:hAnsi="Times New Roman" w:eastAsia="宋体" w:cs="Times New Roman"/>
                <w:b/>
                <w:bCs/>
                <w:color w:val="auto"/>
                <w:sz w:val="24"/>
                <w:highlight w:val="none"/>
              </w:rPr>
            </w:pPr>
            <w:r>
              <w:rPr>
                <w:rFonts w:ascii="Times New Roman" w:hAnsi="Times New Roman" w:eastAsia="宋体" w:cs="Times New Roman"/>
                <w:b/>
                <w:bCs/>
                <w:color w:val="auto"/>
                <w:sz w:val="24"/>
                <w:highlight w:val="none"/>
              </w:rPr>
              <w:t>序号</w:t>
            </w:r>
          </w:p>
        </w:tc>
        <w:tc>
          <w:tcPr>
            <w:tcW w:w="6122" w:type="dxa"/>
            <w:tcBorders>
              <w:top w:val="single" w:color="auto" w:sz="4" w:space="0"/>
              <w:left w:val="nil"/>
              <w:bottom w:val="single" w:color="auto" w:sz="4" w:space="0"/>
              <w:right w:val="single" w:color="auto" w:sz="4" w:space="0"/>
            </w:tcBorders>
            <w:noWrap/>
            <w:vAlign w:val="center"/>
          </w:tcPr>
          <w:p w14:paraId="2384EBC1">
            <w:pPr>
              <w:widowControl/>
              <w:snapToGrid w:val="0"/>
              <w:spacing w:before="156" w:beforeLines="50" w:line="360" w:lineRule="auto"/>
              <w:jc w:val="center"/>
              <w:rPr>
                <w:rFonts w:ascii="Times New Roman" w:hAnsi="Times New Roman" w:eastAsia="宋体" w:cs="Times New Roman"/>
                <w:b/>
                <w:bCs/>
                <w:color w:val="auto"/>
                <w:sz w:val="24"/>
                <w:highlight w:val="none"/>
              </w:rPr>
            </w:pPr>
            <w:r>
              <w:rPr>
                <w:rFonts w:ascii="Times New Roman" w:hAnsi="Times New Roman" w:eastAsia="宋体" w:cs="Times New Roman"/>
                <w:b/>
                <w:bCs/>
                <w:color w:val="auto"/>
                <w:sz w:val="24"/>
                <w:highlight w:val="none"/>
              </w:rPr>
              <w:t>名称</w:t>
            </w:r>
          </w:p>
        </w:tc>
        <w:tc>
          <w:tcPr>
            <w:tcW w:w="974" w:type="dxa"/>
            <w:tcBorders>
              <w:top w:val="single" w:color="auto" w:sz="4" w:space="0"/>
              <w:left w:val="nil"/>
              <w:bottom w:val="single" w:color="auto" w:sz="4" w:space="0"/>
              <w:right w:val="single" w:color="auto" w:sz="4" w:space="0"/>
            </w:tcBorders>
            <w:noWrap/>
            <w:vAlign w:val="center"/>
          </w:tcPr>
          <w:p w14:paraId="6BBC2900">
            <w:pPr>
              <w:widowControl/>
              <w:snapToGrid w:val="0"/>
              <w:spacing w:before="156" w:beforeLines="50" w:line="360" w:lineRule="auto"/>
              <w:jc w:val="center"/>
              <w:rPr>
                <w:rFonts w:ascii="Times New Roman" w:hAnsi="Times New Roman" w:eastAsia="宋体" w:cs="Times New Roman"/>
                <w:b/>
                <w:bCs/>
                <w:color w:val="auto"/>
                <w:sz w:val="24"/>
                <w:highlight w:val="none"/>
              </w:rPr>
            </w:pPr>
            <w:r>
              <w:rPr>
                <w:rFonts w:ascii="Times New Roman" w:hAnsi="Times New Roman" w:eastAsia="宋体" w:cs="Times New Roman"/>
                <w:b/>
                <w:bCs/>
                <w:color w:val="auto"/>
                <w:sz w:val="24"/>
                <w:highlight w:val="none"/>
              </w:rPr>
              <w:t>单位</w:t>
            </w:r>
          </w:p>
        </w:tc>
        <w:tc>
          <w:tcPr>
            <w:tcW w:w="1021" w:type="dxa"/>
            <w:tcBorders>
              <w:top w:val="single" w:color="auto" w:sz="4" w:space="0"/>
              <w:left w:val="nil"/>
              <w:bottom w:val="single" w:color="auto" w:sz="4" w:space="0"/>
              <w:right w:val="single" w:color="auto" w:sz="4" w:space="0"/>
            </w:tcBorders>
            <w:noWrap/>
            <w:vAlign w:val="center"/>
          </w:tcPr>
          <w:p w14:paraId="7CEE670C">
            <w:pPr>
              <w:widowControl/>
              <w:snapToGrid w:val="0"/>
              <w:spacing w:before="156" w:beforeLines="50" w:line="360" w:lineRule="auto"/>
              <w:jc w:val="center"/>
              <w:rPr>
                <w:rFonts w:ascii="Times New Roman" w:hAnsi="Times New Roman" w:eastAsia="宋体" w:cs="Times New Roman"/>
                <w:b/>
                <w:bCs/>
                <w:color w:val="auto"/>
                <w:sz w:val="24"/>
                <w:highlight w:val="none"/>
              </w:rPr>
            </w:pPr>
            <w:r>
              <w:rPr>
                <w:rFonts w:ascii="Times New Roman" w:hAnsi="Times New Roman" w:eastAsia="宋体" w:cs="Times New Roman"/>
                <w:b/>
                <w:bCs/>
                <w:color w:val="auto"/>
                <w:sz w:val="24"/>
                <w:highlight w:val="none"/>
              </w:rPr>
              <w:t>数量</w:t>
            </w:r>
          </w:p>
        </w:tc>
      </w:tr>
      <w:tr w14:paraId="2C6D97CB">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13EEEE8B">
            <w:pPr>
              <w:widowControl/>
              <w:snapToGrid w:val="0"/>
              <w:spacing w:before="156" w:beforeLines="50" w:line="360" w:lineRule="auto"/>
              <w:jc w:val="center"/>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1</w:t>
            </w:r>
          </w:p>
        </w:tc>
        <w:tc>
          <w:tcPr>
            <w:tcW w:w="6122" w:type="dxa"/>
            <w:tcBorders>
              <w:top w:val="single" w:color="auto" w:sz="4" w:space="0"/>
              <w:left w:val="single" w:color="auto" w:sz="4" w:space="0"/>
              <w:bottom w:val="single" w:color="auto" w:sz="4" w:space="0"/>
              <w:right w:val="single" w:color="auto" w:sz="4" w:space="0"/>
            </w:tcBorders>
            <w:noWrap/>
            <w:vAlign w:val="center"/>
          </w:tcPr>
          <w:p w14:paraId="0FD66158">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光源子系统（明场光源、暗场光源、P</w:t>
            </w:r>
            <w:r>
              <w:rPr>
                <w:rFonts w:ascii="宋体" w:hAnsi="宋体" w:eastAsia="宋体" w:cs="宋体"/>
                <w:color w:val="auto"/>
                <w:sz w:val="24"/>
                <w:highlight w:val="none"/>
              </w:rPr>
              <w:t>L双光源</w:t>
            </w:r>
            <w:r>
              <w:rPr>
                <w:rFonts w:hint="eastAsia" w:ascii="宋体" w:hAnsi="宋体" w:eastAsia="宋体" w:cs="宋体"/>
                <w:color w:val="auto"/>
                <w:sz w:val="24"/>
                <w:highlight w:val="none"/>
              </w:rPr>
              <w:t>）</w:t>
            </w:r>
          </w:p>
        </w:tc>
        <w:tc>
          <w:tcPr>
            <w:tcW w:w="974" w:type="dxa"/>
            <w:tcBorders>
              <w:top w:val="single" w:color="auto" w:sz="4" w:space="0"/>
              <w:left w:val="single" w:color="auto" w:sz="4" w:space="0"/>
              <w:bottom w:val="single" w:color="auto" w:sz="4" w:space="0"/>
              <w:right w:val="single" w:color="auto" w:sz="4" w:space="0"/>
            </w:tcBorders>
            <w:noWrap/>
            <w:vAlign w:val="center"/>
          </w:tcPr>
          <w:p w14:paraId="63FE14A6">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6A5D0053">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337692DA">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012E59A7">
            <w:pPr>
              <w:widowControl/>
              <w:snapToGrid w:val="0"/>
              <w:spacing w:before="156" w:beforeLines="50" w:line="360" w:lineRule="auto"/>
              <w:jc w:val="center"/>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2</w:t>
            </w:r>
          </w:p>
        </w:tc>
        <w:tc>
          <w:tcPr>
            <w:tcW w:w="6122" w:type="dxa"/>
            <w:tcBorders>
              <w:top w:val="single" w:color="auto" w:sz="4" w:space="0"/>
              <w:left w:val="single" w:color="auto" w:sz="4" w:space="0"/>
              <w:bottom w:val="single" w:color="auto" w:sz="4" w:space="0"/>
              <w:right w:val="single" w:color="auto" w:sz="4" w:space="0"/>
            </w:tcBorders>
            <w:noWrap/>
            <w:vAlign w:val="center"/>
          </w:tcPr>
          <w:p w14:paraId="6EE72138">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缺陷检测光学镜组</w:t>
            </w:r>
          </w:p>
        </w:tc>
        <w:tc>
          <w:tcPr>
            <w:tcW w:w="974" w:type="dxa"/>
            <w:tcBorders>
              <w:top w:val="single" w:color="auto" w:sz="4" w:space="0"/>
              <w:left w:val="single" w:color="auto" w:sz="4" w:space="0"/>
              <w:bottom w:val="single" w:color="auto" w:sz="4" w:space="0"/>
              <w:right w:val="single" w:color="auto" w:sz="4" w:space="0"/>
            </w:tcBorders>
            <w:noWrap/>
            <w:vAlign w:val="center"/>
          </w:tcPr>
          <w:p w14:paraId="12F00C58">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67D7E6EF">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782983DA">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1EFB713B">
            <w:pPr>
              <w:widowControl/>
              <w:snapToGrid w:val="0"/>
              <w:spacing w:before="156" w:beforeLines="50" w:line="360" w:lineRule="auto"/>
              <w:jc w:val="center"/>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3</w:t>
            </w:r>
          </w:p>
        </w:tc>
        <w:tc>
          <w:tcPr>
            <w:tcW w:w="6122" w:type="dxa"/>
            <w:tcBorders>
              <w:top w:val="single" w:color="auto" w:sz="4" w:space="0"/>
              <w:left w:val="single" w:color="auto" w:sz="4" w:space="0"/>
              <w:bottom w:val="single" w:color="auto" w:sz="4" w:space="0"/>
              <w:right w:val="single" w:color="auto" w:sz="4" w:space="0"/>
            </w:tcBorders>
            <w:noWrap/>
            <w:vAlign w:val="center"/>
          </w:tcPr>
          <w:p w14:paraId="1D66500E">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对准模块光学镜组</w:t>
            </w:r>
          </w:p>
        </w:tc>
        <w:tc>
          <w:tcPr>
            <w:tcW w:w="974" w:type="dxa"/>
            <w:tcBorders>
              <w:top w:val="single" w:color="auto" w:sz="4" w:space="0"/>
              <w:left w:val="single" w:color="auto" w:sz="4" w:space="0"/>
              <w:bottom w:val="single" w:color="auto" w:sz="4" w:space="0"/>
              <w:right w:val="single" w:color="auto" w:sz="4" w:space="0"/>
            </w:tcBorders>
            <w:noWrap/>
            <w:vAlign w:val="center"/>
          </w:tcPr>
          <w:p w14:paraId="7DDA1054">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5209B483">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30DE1FFA">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69347443">
            <w:pPr>
              <w:widowControl/>
              <w:snapToGrid w:val="0"/>
              <w:spacing w:before="156" w:beforeLines="50" w:line="360" w:lineRule="auto"/>
              <w:jc w:val="center"/>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4</w:t>
            </w:r>
          </w:p>
        </w:tc>
        <w:tc>
          <w:tcPr>
            <w:tcW w:w="6122" w:type="dxa"/>
            <w:tcBorders>
              <w:top w:val="single" w:color="auto" w:sz="4" w:space="0"/>
              <w:left w:val="single" w:color="auto" w:sz="4" w:space="0"/>
              <w:bottom w:val="single" w:color="auto" w:sz="4" w:space="0"/>
              <w:right w:val="single" w:color="auto" w:sz="4" w:space="0"/>
            </w:tcBorders>
            <w:noWrap/>
            <w:vAlign w:val="center"/>
          </w:tcPr>
          <w:p w14:paraId="3BA40F95">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自动聚焦模块</w:t>
            </w:r>
          </w:p>
        </w:tc>
        <w:tc>
          <w:tcPr>
            <w:tcW w:w="974" w:type="dxa"/>
            <w:tcBorders>
              <w:top w:val="single" w:color="auto" w:sz="4" w:space="0"/>
              <w:left w:val="single" w:color="auto" w:sz="4" w:space="0"/>
              <w:bottom w:val="single" w:color="auto" w:sz="4" w:space="0"/>
              <w:right w:val="single" w:color="auto" w:sz="4" w:space="0"/>
            </w:tcBorders>
            <w:noWrap/>
            <w:vAlign w:val="center"/>
          </w:tcPr>
          <w:p w14:paraId="74B4FB6C">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0B3E46D3">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0ED50F70">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18058984">
            <w:pPr>
              <w:widowControl/>
              <w:snapToGrid w:val="0"/>
              <w:spacing w:before="156" w:beforeLines="50" w:line="360" w:lineRule="auto"/>
              <w:jc w:val="center"/>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5</w:t>
            </w:r>
          </w:p>
        </w:tc>
        <w:tc>
          <w:tcPr>
            <w:tcW w:w="6122" w:type="dxa"/>
            <w:tcBorders>
              <w:top w:val="single" w:color="auto" w:sz="4" w:space="0"/>
              <w:left w:val="single" w:color="auto" w:sz="4" w:space="0"/>
              <w:bottom w:val="single" w:color="auto" w:sz="4" w:space="0"/>
              <w:right w:val="single" w:color="auto" w:sz="4" w:space="0"/>
            </w:tcBorders>
            <w:noWrap/>
            <w:vAlign w:val="center"/>
          </w:tcPr>
          <w:p w14:paraId="00C2D00A">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高精度运动平台</w:t>
            </w:r>
          </w:p>
        </w:tc>
        <w:tc>
          <w:tcPr>
            <w:tcW w:w="974" w:type="dxa"/>
            <w:tcBorders>
              <w:top w:val="single" w:color="auto" w:sz="4" w:space="0"/>
              <w:left w:val="single" w:color="auto" w:sz="4" w:space="0"/>
              <w:bottom w:val="single" w:color="auto" w:sz="4" w:space="0"/>
              <w:right w:val="single" w:color="auto" w:sz="4" w:space="0"/>
            </w:tcBorders>
            <w:noWrap/>
            <w:vAlign w:val="center"/>
          </w:tcPr>
          <w:p w14:paraId="01894C9E">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65DFF2F6">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529612AD">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37279ED1">
            <w:pPr>
              <w:widowControl/>
              <w:snapToGrid w:val="0"/>
              <w:spacing w:before="156" w:beforeLines="50" w:line="360" w:lineRule="auto"/>
              <w:jc w:val="center"/>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6</w:t>
            </w:r>
          </w:p>
        </w:tc>
        <w:tc>
          <w:tcPr>
            <w:tcW w:w="6122" w:type="dxa"/>
            <w:tcBorders>
              <w:top w:val="single" w:color="auto" w:sz="4" w:space="0"/>
              <w:left w:val="single" w:color="auto" w:sz="4" w:space="0"/>
              <w:bottom w:val="single" w:color="auto" w:sz="4" w:space="0"/>
              <w:right w:val="single" w:color="auto" w:sz="4" w:space="0"/>
            </w:tcBorders>
            <w:noWrap/>
            <w:vAlign w:val="center"/>
          </w:tcPr>
          <w:p w14:paraId="43992C93">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机械手臂站</w:t>
            </w:r>
          </w:p>
        </w:tc>
        <w:tc>
          <w:tcPr>
            <w:tcW w:w="974" w:type="dxa"/>
            <w:tcBorders>
              <w:top w:val="single" w:color="auto" w:sz="4" w:space="0"/>
              <w:left w:val="single" w:color="auto" w:sz="4" w:space="0"/>
              <w:bottom w:val="single" w:color="auto" w:sz="4" w:space="0"/>
              <w:right w:val="single" w:color="auto" w:sz="4" w:space="0"/>
            </w:tcBorders>
            <w:noWrap/>
            <w:vAlign w:val="center"/>
          </w:tcPr>
          <w:p w14:paraId="47DBF1AD">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44BEF0C8">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5484EEA7">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0DF16EE6">
            <w:pPr>
              <w:widowControl/>
              <w:snapToGrid w:val="0"/>
              <w:spacing w:before="156" w:beforeLines="50" w:line="360" w:lineRule="auto"/>
              <w:jc w:val="center"/>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7</w:t>
            </w:r>
          </w:p>
        </w:tc>
        <w:tc>
          <w:tcPr>
            <w:tcW w:w="6122" w:type="dxa"/>
            <w:tcBorders>
              <w:top w:val="single" w:color="auto" w:sz="4" w:space="0"/>
              <w:left w:val="single" w:color="auto" w:sz="4" w:space="0"/>
              <w:bottom w:val="single" w:color="auto" w:sz="4" w:space="0"/>
              <w:right w:val="single" w:color="auto" w:sz="4" w:space="0"/>
            </w:tcBorders>
            <w:noWrap/>
            <w:vAlign w:val="center"/>
          </w:tcPr>
          <w:p w14:paraId="1F615EC2">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晶圆上下料装卸模块</w:t>
            </w:r>
          </w:p>
        </w:tc>
        <w:tc>
          <w:tcPr>
            <w:tcW w:w="974" w:type="dxa"/>
            <w:tcBorders>
              <w:top w:val="single" w:color="auto" w:sz="4" w:space="0"/>
              <w:left w:val="single" w:color="auto" w:sz="4" w:space="0"/>
              <w:bottom w:val="single" w:color="auto" w:sz="4" w:space="0"/>
              <w:right w:val="single" w:color="auto" w:sz="4" w:space="0"/>
            </w:tcBorders>
            <w:noWrap/>
            <w:vAlign w:val="center"/>
          </w:tcPr>
          <w:p w14:paraId="23DD3A5E">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1ED7AD7C">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7B9653BE">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53553E19">
            <w:pPr>
              <w:widowControl/>
              <w:snapToGrid w:val="0"/>
              <w:spacing w:before="156" w:beforeLines="50" w:line="360" w:lineRule="auto"/>
              <w:jc w:val="center"/>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8</w:t>
            </w:r>
          </w:p>
        </w:tc>
        <w:tc>
          <w:tcPr>
            <w:tcW w:w="6122" w:type="dxa"/>
            <w:tcBorders>
              <w:top w:val="single" w:color="auto" w:sz="4" w:space="0"/>
              <w:left w:val="single" w:color="auto" w:sz="4" w:space="0"/>
              <w:bottom w:val="single" w:color="auto" w:sz="4" w:space="0"/>
              <w:right w:val="single" w:color="auto" w:sz="4" w:space="0"/>
            </w:tcBorders>
            <w:noWrap/>
            <w:vAlign w:val="center"/>
          </w:tcPr>
          <w:p w14:paraId="425F5937">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控制、图像摄取及数据处理工作站</w:t>
            </w:r>
          </w:p>
        </w:tc>
        <w:tc>
          <w:tcPr>
            <w:tcW w:w="974" w:type="dxa"/>
            <w:tcBorders>
              <w:top w:val="single" w:color="auto" w:sz="4" w:space="0"/>
              <w:left w:val="single" w:color="auto" w:sz="4" w:space="0"/>
              <w:bottom w:val="single" w:color="auto" w:sz="4" w:space="0"/>
              <w:right w:val="single" w:color="auto" w:sz="4" w:space="0"/>
            </w:tcBorders>
            <w:noWrap/>
            <w:vAlign w:val="center"/>
          </w:tcPr>
          <w:p w14:paraId="0F3E9A81">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台</w:t>
            </w:r>
          </w:p>
        </w:tc>
        <w:tc>
          <w:tcPr>
            <w:tcW w:w="1021" w:type="dxa"/>
            <w:tcBorders>
              <w:top w:val="single" w:color="auto" w:sz="4" w:space="0"/>
              <w:left w:val="single" w:color="auto" w:sz="4" w:space="0"/>
              <w:bottom w:val="single" w:color="auto" w:sz="4" w:space="0"/>
              <w:right w:val="single" w:color="auto" w:sz="4" w:space="0"/>
            </w:tcBorders>
            <w:noWrap/>
            <w:vAlign w:val="center"/>
          </w:tcPr>
          <w:p w14:paraId="3CB5A956">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3CDEC762">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6A62703B">
            <w:pPr>
              <w:widowControl/>
              <w:snapToGrid w:val="0"/>
              <w:spacing w:before="156" w:beforeLines="50" w:line="360" w:lineRule="auto"/>
              <w:jc w:val="center"/>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9</w:t>
            </w:r>
          </w:p>
        </w:tc>
        <w:tc>
          <w:tcPr>
            <w:tcW w:w="6122" w:type="dxa"/>
            <w:tcBorders>
              <w:top w:val="single" w:color="auto" w:sz="4" w:space="0"/>
              <w:left w:val="single" w:color="auto" w:sz="4" w:space="0"/>
              <w:bottom w:val="single" w:color="auto" w:sz="4" w:space="0"/>
              <w:right w:val="single" w:color="auto" w:sz="4" w:space="0"/>
            </w:tcBorders>
            <w:noWrap/>
            <w:vAlign w:val="center"/>
          </w:tcPr>
          <w:p w14:paraId="10E7F4EF">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控制与分析软件</w:t>
            </w:r>
          </w:p>
        </w:tc>
        <w:tc>
          <w:tcPr>
            <w:tcW w:w="974" w:type="dxa"/>
            <w:tcBorders>
              <w:top w:val="single" w:color="auto" w:sz="4" w:space="0"/>
              <w:left w:val="single" w:color="auto" w:sz="4" w:space="0"/>
              <w:bottom w:val="single" w:color="auto" w:sz="4" w:space="0"/>
              <w:right w:val="single" w:color="auto" w:sz="4" w:space="0"/>
            </w:tcBorders>
            <w:noWrap/>
            <w:vAlign w:val="center"/>
          </w:tcPr>
          <w:p w14:paraId="5B6D19FF">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63468EB9">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09440BC4">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516466CB">
            <w:pPr>
              <w:widowControl/>
              <w:snapToGrid w:val="0"/>
              <w:spacing w:before="156" w:beforeLines="50" w:line="360" w:lineRule="auto"/>
              <w:jc w:val="center"/>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w:t>
            </w:r>
            <w:r>
              <w:rPr>
                <w:rFonts w:ascii="Times New Roman" w:hAnsi="Times New Roman" w:eastAsia="宋体" w:cs="Times New Roman"/>
                <w:color w:val="auto"/>
                <w:sz w:val="24"/>
                <w:highlight w:val="none"/>
              </w:rPr>
              <w:t>0</w:t>
            </w:r>
          </w:p>
        </w:tc>
        <w:tc>
          <w:tcPr>
            <w:tcW w:w="6122" w:type="dxa"/>
            <w:tcBorders>
              <w:top w:val="single" w:color="auto" w:sz="4" w:space="0"/>
              <w:left w:val="single" w:color="auto" w:sz="4" w:space="0"/>
              <w:bottom w:val="single" w:color="auto" w:sz="4" w:space="0"/>
              <w:right w:val="single" w:color="auto" w:sz="4" w:space="0"/>
            </w:tcBorders>
            <w:noWrap/>
            <w:vAlign w:val="center"/>
          </w:tcPr>
          <w:p w14:paraId="70862756">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气动与真空控制系统</w:t>
            </w:r>
          </w:p>
        </w:tc>
        <w:tc>
          <w:tcPr>
            <w:tcW w:w="974" w:type="dxa"/>
            <w:tcBorders>
              <w:top w:val="single" w:color="auto" w:sz="4" w:space="0"/>
              <w:left w:val="single" w:color="auto" w:sz="4" w:space="0"/>
              <w:bottom w:val="single" w:color="auto" w:sz="4" w:space="0"/>
              <w:right w:val="single" w:color="auto" w:sz="4" w:space="0"/>
            </w:tcBorders>
            <w:noWrap/>
            <w:vAlign w:val="center"/>
          </w:tcPr>
          <w:p w14:paraId="2FC5D0A1">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29E9C46B">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12F21121">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0270A389">
            <w:pPr>
              <w:widowControl/>
              <w:snapToGrid w:val="0"/>
              <w:spacing w:before="156" w:beforeLines="50" w:line="360" w:lineRule="auto"/>
              <w:jc w:val="center"/>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w:t>
            </w:r>
            <w:r>
              <w:rPr>
                <w:rFonts w:ascii="Times New Roman" w:hAnsi="Times New Roman" w:eastAsia="宋体" w:cs="Times New Roman"/>
                <w:color w:val="auto"/>
                <w:sz w:val="24"/>
                <w:highlight w:val="none"/>
              </w:rPr>
              <w:t>1</w:t>
            </w:r>
          </w:p>
        </w:tc>
        <w:tc>
          <w:tcPr>
            <w:tcW w:w="6122" w:type="dxa"/>
            <w:tcBorders>
              <w:top w:val="single" w:color="auto" w:sz="4" w:space="0"/>
              <w:left w:val="single" w:color="auto" w:sz="4" w:space="0"/>
              <w:bottom w:val="single" w:color="auto" w:sz="4" w:space="0"/>
              <w:right w:val="single" w:color="auto" w:sz="4" w:space="0"/>
            </w:tcBorders>
            <w:noWrap/>
            <w:vAlign w:val="center"/>
          </w:tcPr>
          <w:p w14:paraId="49604B62">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FFU风机过滤单元（Class 100）</w:t>
            </w:r>
          </w:p>
        </w:tc>
        <w:tc>
          <w:tcPr>
            <w:tcW w:w="974" w:type="dxa"/>
            <w:tcBorders>
              <w:top w:val="single" w:color="auto" w:sz="4" w:space="0"/>
              <w:left w:val="single" w:color="auto" w:sz="4" w:space="0"/>
              <w:bottom w:val="single" w:color="auto" w:sz="4" w:space="0"/>
              <w:right w:val="single" w:color="auto" w:sz="4" w:space="0"/>
            </w:tcBorders>
            <w:noWrap/>
            <w:vAlign w:val="center"/>
          </w:tcPr>
          <w:p w14:paraId="3CA525F9">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77C4E047">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r w14:paraId="6E85B54F">
        <w:tblPrEx>
          <w:tblCellMar>
            <w:top w:w="0" w:type="dxa"/>
            <w:left w:w="108" w:type="dxa"/>
            <w:bottom w:w="0" w:type="dxa"/>
            <w:right w:w="108" w:type="dxa"/>
          </w:tblCellMar>
        </w:tblPrEx>
        <w:trPr>
          <w:trHeight w:val="280" w:hRule="atLeast"/>
          <w:jc w:val="center"/>
        </w:trPr>
        <w:tc>
          <w:tcPr>
            <w:tcW w:w="950" w:type="dxa"/>
            <w:tcBorders>
              <w:top w:val="single" w:color="auto" w:sz="4" w:space="0"/>
              <w:left w:val="single" w:color="auto" w:sz="4" w:space="0"/>
              <w:bottom w:val="single" w:color="auto" w:sz="4" w:space="0"/>
              <w:right w:val="single" w:color="auto" w:sz="4" w:space="0"/>
            </w:tcBorders>
            <w:noWrap/>
            <w:vAlign w:val="center"/>
          </w:tcPr>
          <w:p w14:paraId="2F4A10EF">
            <w:pPr>
              <w:widowControl/>
              <w:snapToGrid w:val="0"/>
              <w:spacing w:before="156" w:beforeLines="50" w:line="360" w:lineRule="auto"/>
              <w:jc w:val="center"/>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w:t>
            </w:r>
            <w:r>
              <w:rPr>
                <w:rFonts w:ascii="Times New Roman" w:hAnsi="Times New Roman" w:eastAsia="宋体" w:cs="Times New Roman"/>
                <w:color w:val="auto"/>
                <w:sz w:val="24"/>
                <w:highlight w:val="none"/>
              </w:rPr>
              <w:t>2</w:t>
            </w:r>
          </w:p>
        </w:tc>
        <w:tc>
          <w:tcPr>
            <w:tcW w:w="6122" w:type="dxa"/>
            <w:tcBorders>
              <w:top w:val="single" w:color="auto" w:sz="4" w:space="0"/>
              <w:left w:val="single" w:color="auto" w:sz="4" w:space="0"/>
              <w:bottom w:val="single" w:color="auto" w:sz="4" w:space="0"/>
              <w:right w:val="single" w:color="auto" w:sz="4" w:space="0"/>
            </w:tcBorders>
            <w:noWrap/>
            <w:vAlign w:val="center"/>
          </w:tcPr>
          <w:p w14:paraId="127143F4">
            <w:pPr>
              <w:widowControl/>
              <w:snapToGrid w:val="0"/>
              <w:spacing w:before="156" w:beforeLines="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专用工具</w:t>
            </w:r>
          </w:p>
        </w:tc>
        <w:tc>
          <w:tcPr>
            <w:tcW w:w="974" w:type="dxa"/>
            <w:tcBorders>
              <w:top w:val="single" w:color="auto" w:sz="4" w:space="0"/>
              <w:left w:val="single" w:color="auto" w:sz="4" w:space="0"/>
              <w:bottom w:val="single" w:color="auto" w:sz="4" w:space="0"/>
              <w:right w:val="single" w:color="auto" w:sz="4" w:space="0"/>
            </w:tcBorders>
            <w:noWrap/>
            <w:vAlign w:val="center"/>
          </w:tcPr>
          <w:p w14:paraId="3BBD1E9E">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套</w:t>
            </w:r>
          </w:p>
        </w:tc>
        <w:tc>
          <w:tcPr>
            <w:tcW w:w="1021" w:type="dxa"/>
            <w:tcBorders>
              <w:top w:val="single" w:color="auto" w:sz="4" w:space="0"/>
              <w:left w:val="single" w:color="auto" w:sz="4" w:space="0"/>
              <w:bottom w:val="single" w:color="auto" w:sz="4" w:space="0"/>
              <w:right w:val="single" w:color="auto" w:sz="4" w:space="0"/>
            </w:tcBorders>
            <w:noWrap/>
            <w:vAlign w:val="center"/>
          </w:tcPr>
          <w:p w14:paraId="4845123B">
            <w:pPr>
              <w:widowControl/>
              <w:snapToGrid w:val="0"/>
              <w:spacing w:before="156" w:beforeLines="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r>
    </w:tbl>
    <w:p w14:paraId="2537494A">
      <w:pPr>
        <w:spacing w:line="36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br w:type="page"/>
      </w:r>
      <w:r>
        <w:rPr>
          <w:rFonts w:hint="eastAsia" w:ascii="宋体" w:hAnsi="宋体" w:eastAsia="宋体" w:cs="宋体"/>
          <w:b/>
          <w:bCs/>
          <w:color w:val="auto"/>
          <w:sz w:val="24"/>
          <w:highlight w:val="none"/>
        </w:rPr>
        <w:t>（二）商务要求：</w:t>
      </w:r>
    </w:p>
    <w:p w14:paraId="4D4CABA3">
      <w:pPr>
        <w:widowControl/>
        <w:tabs>
          <w:tab w:val="left" w:pos="8010"/>
        </w:tabs>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 技术资料要求：</w:t>
      </w:r>
    </w:p>
    <w:p w14:paraId="439C2F10">
      <w:pPr>
        <w:tabs>
          <w:tab w:val="left" w:pos="420"/>
          <w:tab w:val="bar" w:pos="11340"/>
        </w:tabs>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供应商应提供1套完整的技术资料，包括所有方案中提到的设备和控制软件的相关技术资料，主要有操作手册、使用手册、维护手册、安装手册等（电子版和纸质版）。</w:t>
      </w:r>
    </w:p>
    <w:p w14:paraId="351872BE">
      <w:pPr>
        <w:widowControl/>
        <w:numPr>
          <w:ilvl w:val="0"/>
          <w:numId w:val="1"/>
        </w:numPr>
        <w:tabs>
          <w:tab w:val="left" w:pos="8010"/>
        </w:tabs>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安装、调试及验收要求：</w:t>
      </w:r>
    </w:p>
    <w:p w14:paraId="23B9B53D">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2.1出厂检验报告：供应商在设备发货前提供到采购人，或随设备发货提供到采购人。</w:t>
      </w:r>
    </w:p>
    <w:p w14:paraId="32ADC184">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2.2设备检查和清点：</w:t>
      </w:r>
    </w:p>
    <w:p w14:paraId="392DCEA6">
      <w:pPr>
        <w:tabs>
          <w:tab w:val="left" w:pos="420"/>
          <w:tab w:val="bar" w:pos="11340"/>
        </w:tabs>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设备到达现场后，双方一起根据合同清单对设备进行开箱检查和清点，并形成经双方认可的记录。如供应商届时不派人来, 则验收结果应以采购人的清点记录为最终结果。发现短缺、破损,采购人有权要求供应商两周内补发和负责更换。</w:t>
      </w:r>
    </w:p>
    <w:p w14:paraId="2CBE7FB2">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2.3设备现场安装：</w:t>
      </w:r>
    </w:p>
    <w:p w14:paraId="32524174">
      <w:pPr>
        <w:tabs>
          <w:tab w:val="left" w:pos="420"/>
          <w:tab w:val="bar" w:pos="11340"/>
        </w:tabs>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现场安装应在设备检查、清点合格后开始。采购人方派相关人员给与配合，并负责提供设备安装过程所需的配套条件；设备安装、调试时间由设备供应商和采购人方协商确定。</w:t>
      </w:r>
    </w:p>
    <w:p w14:paraId="08517221">
      <w:pPr>
        <w:tabs>
          <w:tab w:val="left" w:pos="420"/>
          <w:tab w:val="bar" w:pos="11340"/>
        </w:tabs>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设备安装、调试开始后，应在4周内完成；如遇不可抗力原因需延长设备安装、调试时间，应由设备供应商和采购人协商确定。</w:t>
      </w:r>
    </w:p>
    <w:p w14:paraId="65B02705">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2.4双方在设备安装调试后一个月内完成验收,时间由设备供应商和采购人协商确定。</w:t>
      </w:r>
    </w:p>
    <w:p w14:paraId="2767F2F9">
      <w:pPr>
        <w:pStyle w:val="6"/>
        <w:adjustRightInd/>
        <w:spacing w:line="360" w:lineRule="auto"/>
        <w:ind w:left="0" w:leftChars="0" w:firstLine="0" w:firstLineChars="0"/>
        <w:rPr>
          <w:rFonts w:hint="eastAsia" w:ascii="宋体" w:hAnsi="宋体" w:eastAsia="宋体" w:cs="宋体"/>
          <w:color w:val="auto"/>
          <w:szCs w:val="24"/>
          <w:highlight w:val="none"/>
        </w:rPr>
      </w:pPr>
      <w:r>
        <w:rPr>
          <w:rFonts w:hint="eastAsia" w:ascii="宋体" w:hAnsi="宋体" w:eastAsia="宋体" w:cs="宋体"/>
          <w:color w:val="auto"/>
          <w:szCs w:val="24"/>
          <w:highlight w:val="none"/>
        </w:rPr>
        <w:t>2.5在采购人现场完成验收后，由采购人、供应商及相关人员依国家有关标准、合同及有关附件要求签署最终验收合格报告。</w:t>
      </w:r>
    </w:p>
    <w:p w14:paraId="5504FF31">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2.6由于采购人的原因，供应商不能在规定的时间内完成安装和调试，则系统安装及培训顺延，时间由采购人通知和确定。</w:t>
      </w:r>
    </w:p>
    <w:p w14:paraId="38B8940F">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2.7 在整个验收过程中，如遇到产品本身质量问题或供应商安装操作不当引起的设备损坏，供应商应两周内解决并承担损坏赔偿。</w:t>
      </w:r>
    </w:p>
    <w:p w14:paraId="494B6EF5">
      <w:pPr>
        <w:tabs>
          <w:tab w:val="left" w:pos="420"/>
          <w:tab w:val="bar" w:pos="11340"/>
        </w:tabs>
        <w:spacing w:line="360" w:lineRule="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2.8预验收及最终验收不通过，合同终止，供应商退还全部已拨款项。</w:t>
      </w:r>
    </w:p>
    <w:p w14:paraId="52A55BA6">
      <w:pPr>
        <w:widowControl/>
        <w:numPr>
          <w:ilvl w:val="0"/>
          <w:numId w:val="1"/>
        </w:numPr>
        <w:tabs>
          <w:tab w:val="left" w:pos="8010"/>
        </w:tabs>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培训要求：</w:t>
      </w:r>
    </w:p>
    <w:p w14:paraId="354722BC">
      <w:pPr>
        <w:tabs>
          <w:tab w:val="left" w:pos="420"/>
          <w:tab w:val="bar" w:pos="11340"/>
        </w:tabs>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在到货安装调试完成后，应派出专业工程师在采购方现场提供一次系统的使用培训服务，直至采购方相关人员熟练掌握为止。质保期结束前三个月，由供应商的专业工程师提供一次上门设备检查服务以及设备操作与维护培训。具体时间由采购人决定。</w:t>
      </w:r>
    </w:p>
    <w:p w14:paraId="3628B011">
      <w:pPr>
        <w:widowControl/>
        <w:numPr>
          <w:ilvl w:val="0"/>
          <w:numId w:val="1"/>
        </w:numPr>
        <w:tabs>
          <w:tab w:val="left" w:pos="8010"/>
        </w:tabs>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 xml:space="preserve">售后及技术服务要求： </w:t>
      </w:r>
    </w:p>
    <w:p w14:paraId="00BE6F77">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4.1保修期：质量保证期从签署最终验收报告之日起计算，保修期不少于</w:t>
      </w:r>
      <w:r>
        <w:rPr>
          <w:rFonts w:ascii="宋体" w:hAnsi="宋体" w:eastAsia="宋体" w:cs="宋体"/>
          <w:color w:val="auto"/>
          <w:sz w:val="24"/>
          <w:highlight w:val="none"/>
        </w:rPr>
        <w:t>1</w:t>
      </w:r>
      <w:r>
        <w:rPr>
          <w:rFonts w:hint="eastAsia" w:ascii="宋体" w:hAnsi="宋体" w:eastAsia="宋体" w:cs="宋体"/>
          <w:color w:val="auto"/>
          <w:sz w:val="24"/>
          <w:highlight w:val="none"/>
        </w:rPr>
        <w:t>年。</w:t>
      </w:r>
    </w:p>
    <w:p w14:paraId="3E3713EC">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4.1.1保修期内，一切服务费用（包括零配件的费用及运费）由供应商承担；</w:t>
      </w:r>
    </w:p>
    <w:p w14:paraId="35C2495A">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4.1.2保修期内，供应商负责设备的所有相关软件在最新版本发布后同步升级；</w:t>
      </w:r>
    </w:p>
    <w:p w14:paraId="2DB7D828">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4.1.3供应商应承诺，在保修期过后，供应商继续向采购人以最优惠费率提供及时有效的售后服务和零备件供应，供应商应承诺保证零备件供应期不少于10年；所更换的部件可享受顺延保修期优惠。</w:t>
      </w:r>
    </w:p>
    <w:p w14:paraId="1F69E055">
      <w:pPr>
        <w:pStyle w:val="2"/>
        <w:spacing w:after="0" w:line="360" w:lineRule="auto"/>
        <w:ind w:left="0" w:lef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4.1.4保修期内,如果仪器设备发生故障，供应商要调查故障原因并修复直至满足最终验收指标和性能的要求。</w:t>
      </w:r>
    </w:p>
    <w:p w14:paraId="3D0BB85F">
      <w:pPr>
        <w:pStyle w:val="2"/>
        <w:spacing w:after="0" w:line="360" w:lineRule="auto"/>
        <w:ind w:left="0" w:lef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4.2售后服务要求：</w:t>
      </w:r>
    </w:p>
    <w:p w14:paraId="6C3F7E08">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4.2.1维修响应时间：</w:t>
      </w:r>
    </w:p>
    <w:p w14:paraId="2F5EC0A4">
      <w:pPr>
        <w:tabs>
          <w:tab w:val="left" w:pos="420"/>
          <w:tab w:val="bar" w:pos="11340"/>
        </w:tabs>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供应商接到故障报告后 4小时予以电话响应并给出方案，如无法通过电话解决故障，将在24小时内派专业工程师到现场解决问题，如有需要将在7日内派原厂工程师到现场解决问题；</w:t>
      </w:r>
    </w:p>
    <w:p w14:paraId="2F606328">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4.2.2供应商应提供7*24小时的技术支持热线电话；</w:t>
      </w:r>
    </w:p>
    <w:p w14:paraId="5689DD95">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4.2.3要求供应商提供的其它技术服务内容：</w:t>
      </w:r>
    </w:p>
    <w:p w14:paraId="0CBB7CF5">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4.2.3.1供应商须保证本合同系统硬件均系原装新品；</w:t>
      </w:r>
    </w:p>
    <w:p w14:paraId="01187E8E">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4.2.3.2供应商须保证所提供的控制软件为正版软件，并能得到原产厂家技术支持及升级服务。</w:t>
      </w:r>
    </w:p>
    <w:p w14:paraId="76D83C4D">
      <w:pPr>
        <w:widowControl/>
        <w:numPr>
          <w:ilvl w:val="0"/>
          <w:numId w:val="1"/>
        </w:numPr>
        <w:tabs>
          <w:tab w:val="left" w:pos="8010"/>
        </w:tabs>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包装及运输要求：</w:t>
      </w:r>
    </w:p>
    <w:p w14:paraId="3BC878BA">
      <w:pPr>
        <w:tabs>
          <w:tab w:val="left" w:pos="420"/>
          <w:tab w:val="bar" w:pos="1134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5.1供应商负责设备运输到交货地点。</w:t>
      </w:r>
    </w:p>
    <w:p w14:paraId="49702981">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5.2 无论在何种运输方式下，供应商应保证货物包装完好无锈蚀，安全运抵目的地。应使用崭新坚固的包装（标准包装），适合于空运、海运或陆运等长途运输方式和标准；包装箱应防潮、防锈、防震、防粗暴装卸、适合气候变化；供应商应对任何由于不当包装或防护措施不利而导致的商品损坏、损失、费用增长等后果负责。</w:t>
      </w:r>
    </w:p>
    <w:p w14:paraId="706B1FAE">
      <w:pPr>
        <w:widowControl/>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6、交货日期：</w:t>
      </w:r>
    </w:p>
    <w:p w14:paraId="0951469C">
      <w:pPr>
        <w:widowControl/>
        <w:spacing w:line="360" w:lineRule="auto"/>
        <w:ind w:left="315" w:left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合同签订后的</w:t>
      </w:r>
      <w:r>
        <w:rPr>
          <w:rFonts w:ascii="宋体" w:hAnsi="宋体" w:eastAsia="宋体" w:cs="宋体"/>
          <w:color w:val="auto"/>
          <w:sz w:val="24"/>
          <w:highlight w:val="none"/>
        </w:rPr>
        <w:t>4</w:t>
      </w:r>
      <w:r>
        <w:rPr>
          <w:rFonts w:hint="eastAsia" w:ascii="宋体" w:hAnsi="宋体" w:eastAsia="宋体" w:cs="宋体"/>
          <w:color w:val="auto"/>
          <w:sz w:val="24"/>
          <w:highlight w:val="none"/>
        </w:rPr>
        <w:t>个月内交货；</w:t>
      </w:r>
    </w:p>
    <w:p w14:paraId="2C95774B">
      <w:pPr>
        <w:widowControl/>
        <w:spacing w:line="360" w:lineRule="auto"/>
        <w:rPr>
          <w:rFonts w:hint="eastAsia" w:ascii="宋体" w:hAnsi="宋体" w:eastAsia="宋体" w:cs="宋体"/>
          <w:b/>
          <w:color w:val="auto"/>
          <w:sz w:val="24"/>
          <w:highlight w:val="none"/>
        </w:rPr>
      </w:pPr>
      <w:bookmarkStart w:id="0" w:name="OLE_LINK3"/>
      <w:r>
        <w:rPr>
          <w:rFonts w:hint="eastAsia" w:ascii="宋体" w:hAnsi="宋体" w:eastAsia="宋体" w:cs="宋体"/>
          <w:b/>
          <w:color w:val="auto"/>
          <w:sz w:val="24"/>
          <w:highlight w:val="none"/>
        </w:rPr>
        <w:t>7、交货地点：</w:t>
      </w:r>
    </w:p>
    <w:bookmarkEnd w:id="0"/>
    <w:p w14:paraId="6E84B05A">
      <w:pPr>
        <w:widowControl/>
        <w:spacing w:line="360" w:lineRule="auto"/>
        <w:ind w:left="315" w:left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交货地点：中国科学院微电子研究所指定地点</w:t>
      </w:r>
    </w:p>
    <w:p w14:paraId="6F7AC2B1">
      <w:pPr>
        <w:widowControl/>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8、执行的相关标准</w:t>
      </w:r>
    </w:p>
    <w:p w14:paraId="76899C68">
      <w:pPr>
        <w:widowControl/>
        <w:spacing w:line="360" w:lineRule="auto"/>
        <w:ind w:left="315" w:left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无。</w:t>
      </w:r>
    </w:p>
    <w:p w14:paraId="2FE0DEC9">
      <w:pPr>
        <w:widowControl/>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9、其它</w:t>
      </w:r>
    </w:p>
    <w:p w14:paraId="0B7BCB33">
      <w:pPr>
        <w:widowControl/>
        <w:spacing w:line="360" w:lineRule="auto"/>
        <w:ind w:left="315" w:left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9.1对仪器设备生产供应商要求：</w:t>
      </w:r>
    </w:p>
    <w:p w14:paraId="076B8B09">
      <w:pPr>
        <w:widowControl/>
        <w:spacing w:line="360" w:lineRule="auto"/>
        <w:ind w:left="315" w:leftChars="150"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供应商应具备一定规模的科研、生产、技术支持及售后服务能力。</w:t>
      </w:r>
    </w:p>
    <w:p w14:paraId="1E1E1257">
      <w:pPr>
        <w:widowControl/>
        <w:spacing w:line="360" w:lineRule="auto"/>
        <w:ind w:left="315" w:leftChars="150"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供应商在国内设有技术支持中心及维修中心 。</w:t>
      </w:r>
    </w:p>
    <w:p w14:paraId="1089E22C">
      <w:pPr>
        <w:widowControl/>
        <w:spacing w:line="360" w:lineRule="auto"/>
        <w:ind w:left="315" w:left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★9.2 供应商同意并保证尊重任何他方的知识产权及其它合法权益，承诺其所提供的产品或服务均不得侵犯第三方知识产权及其它合法权益，否则所引起的全部责任均应当由供应商承担。</w:t>
      </w:r>
    </w:p>
    <w:p w14:paraId="4DFA0050">
      <w:pPr>
        <w:widowControl/>
        <w:tabs>
          <w:tab w:val="left" w:pos="900"/>
        </w:tabs>
        <w:spacing w:line="360" w:lineRule="auto"/>
        <w:jc w:val="lef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10、付款方式：</w:t>
      </w:r>
    </w:p>
    <w:p w14:paraId="5B9C81E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合同签订后支付</w:t>
      </w:r>
      <w:r>
        <w:rPr>
          <w:rFonts w:ascii="宋体" w:hAnsi="宋体" w:eastAsia="宋体" w:cs="宋体"/>
          <w:color w:val="auto"/>
          <w:sz w:val="24"/>
          <w:highlight w:val="none"/>
        </w:rPr>
        <w:t>5</w:t>
      </w:r>
      <w:r>
        <w:rPr>
          <w:rFonts w:hint="eastAsia" w:ascii="宋体" w:hAnsi="宋体" w:eastAsia="宋体" w:cs="宋体"/>
          <w:color w:val="auto"/>
          <w:sz w:val="24"/>
          <w:highlight w:val="none"/>
        </w:rPr>
        <w:t>0%；厂家现场预验收通过后发货支付</w:t>
      </w:r>
      <w:r>
        <w:rPr>
          <w:rFonts w:ascii="宋体" w:hAnsi="宋体" w:eastAsia="宋体" w:cs="宋体"/>
          <w:color w:val="auto"/>
          <w:sz w:val="24"/>
          <w:highlight w:val="none"/>
        </w:rPr>
        <w:t>2</w:t>
      </w:r>
      <w:r>
        <w:rPr>
          <w:rFonts w:hint="eastAsia" w:ascii="宋体" w:hAnsi="宋体" w:eastAsia="宋体" w:cs="宋体"/>
          <w:color w:val="auto"/>
          <w:sz w:val="24"/>
          <w:highlight w:val="none"/>
        </w:rPr>
        <w:t>0%；采购人代表签字并加盖单位公章后的验收报告支付30%。</w:t>
      </w:r>
    </w:p>
    <w:p w14:paraId="5F84DD69">
      <w:pPr>
        <w:widowControl/>
        <w:tabs>
          <w:tab w:val="left" w:pos="0"/>
        </w:tabs>
        <w:spacing w:line="360" w:lineRule="auto"/>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★11</w:t>
      </w:r>
      <w:r>
        <w:rPr>
          <w:rFonts w:hint="eastAsia" w:ascii="宋体" w:hAnsi="宋体" w:eastAsia="宋体" w:cs="宋体"/>
          <w:b/>
          <w:bCs/>
          <w:color w:val="auto"/>
          <w:sz w:val="24"/>
          <w:highlight w:val="none"/>
        </w:rPr>
        <w:t>、投标报价要求：</w:t>
      </w:r>
    </w:p>
    <w:p w14:paraId="47084E42">
      <w:pPr>
        <w:tabs>
          <w:tab w:val="left" w:pos="90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（1）本项目不允许采购进口产品（进口产品是指通过中国海关报关验放进入中国境内且产自关境外的产品）</w:t>
      </w:r>
    </w:p>
    <w:p w14:paraId="1B3DAE03">
      <w:pPr>
        <w:tabs>
          <w:tab w:val="left" w:pos="90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（2）国产产品与服务报项目现场交货人民币价。报价中需包括制造、装配和发运货物所使用的材料、部件及货物本身已支付或将支付的产品税、销售税和其它税费。</w:t>
      </w:r>
    </w:p>
    <w:p w14:paraId="1DCAF66D">
      <w:pPr>
        <w:tabs>
          <w:tab w:val="left" w:pos="90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在中国境内的海关特殊监管区域内生产或加工销往境内其他地区的产品，不视为政府采购项下的进口产品，报CIP项目现场美元、欧元、英镑、日元或人民币价(不包括外贸代理费应向中华人民共和国政府缴纳的进口环节税。)投标报价如为外币，按以下公式换算为人民币，换算后的人民币价格若高于采购预算(设置最高限价的，以最高限价为准)，投标将拒绝：换算后人民币价格=投标报价(外币)x汇率(说明:汇率为开标当日中国银行总行首次发布的外币对人民币的现汇卖出价)。</w:t>
      </w:r>
    </w:p>
    <w:p w14:paraId="1A3D2B87">
      <w:pPr>
        <w:adjustRightInd w:val="0"/>
        <w:snapToGrid w:val="0"/>
        <w:spacing w:line="360" w:lineRule="auto"/>
        <w:rPr>
          <w:rFonts w:ascii="Times New Roman" w:hAnsi="Times New Roman" w:eastAsia="宋体" w:cs="Times New Roman"/>
          <w:bCs/>
          <w:color w:val="auto"/>
          <w:sz w:val="24"/>
          <w:highlight w:val="none"/>
        </w:rPr>
      </w:pPr>
      <w:r>
        <w:rPr>
          <w:rFonts w:hint="eastAsia" w:ascii="宋体" w:hAnsi="宋体" w:eastAsia="宋体" w:cs="宋体"/>
          <w:color w:val="auto"/>
          <w:sz w:val="24"/>
          <w:highlight w:val="none"/>
        </w:rPr>
        <w:t>（4）上述价格的构成须按在分项报价表中格式要求详细列出。</w:t>
      </w:r>
    </w:p>
    <w:p w14:paraId="27A93F07">
      <w:pPr>
        <w:widowControl/>
        <w:jc w:val="left"/>
        <w:rPr>
          <w:rFonts w:ascii="Times New Roman" w:hAnsi="Times New Roman" w:eastAsia="宋体" w:cs="Times New Roman"/>
          <w:color w:val="auto"/>
          <w:highlight w:val="none"/>
        </w:rPr>
      </w:pPr>
    </w:p>
    <w:p w14:paraId="384D8D30">
      <w:pPr>
        <w:widowControl/>
        <w:tabs>
          <w:tab w:val="left" w:pos="900"/>
        </w:tabs>
        <w:spacing w:line="360" w:lineRule="auto"/>
        <w:jc w:val="left"/>
        <w:rPr>
          <w:rFonts w:ascii="Times New Roman" w:hAnsi="Times New Roman" w:eastAsia="宋体" w:cs="Times New Roman"/>
          <w:b/>
          <w:bCs/>
          <w:color w:val="auto"/>
          <w:kern w:val="0"/>
          <w:sz w:val="24"/>
          <w:highlight w:val="none"/>
          <w:u w:val="single"/>
        </w:rPr>
      </w:pPr>
      <w:r>
        <w:rPr>
          <w:rFonts w:ascii="Times New Roman" w:hAnsi="Times New Roman" w:eastAsia="宋体" w:cs="Times New Roman"/>
          <w:b/>
          <w:bCs/>
          <w:color w:val="auto"/>
          <w:kern w:val="0"/>
          <w:sz w:val="24"/>
          <w:highlight w:val="none"/>
        </w:rPr>
        <w:t>12、是否允许采购进口产品：</w:t>
      </w:r>
      <w:r>
        <w:rPr>
          <w:rFonts w:ascii="Times New Roman" w:hAnsi="Times New Roman" w:eastAsia="宋体" w:cs="Times New Roman"/>
          <w:b/>
          <w:bCs/>
          <w:color w:val="auto"/>
          <w:kern w:val="0"/>
          <w:sz w:val="24"/>
          <w:highlight w:val="none"/>
          <w:u w:val="single"/>
        </w:rPr>
        <w:t xml:space="preserve">否 </w:t>
      </w:r>
    </w:p>
    <w:p w14:paraId="23C623FB">
      <w:pPr>
        <w:pStyle w:val="2"/>
        <w:ind w:firstLine="480"/>
        <w:rPr>
          <w:rFonts w:ascii="Times New Roman" w:hAnsi="Times New Roman" w:eastAsia="宋体" w:cs="Times New Roman"/>
          <w:color w:val="auto"/>
          <w:sz w:val="24"/>
          <w:highlight w:val="none"/>
        </w:rPr>
      </w:pPr>
    </w:p>
    <w:p w14:paraId="09B29B7C">
      <w:pPr>
        <w:widowControl/>
        <w:tabs>
          <w:tab w:val="left" w:pos="900"/>
        </w:tabs>
        <w:spacing w:line="360" w:lineRule="auto"/>
        <w:jc w:val="left"/>
        <w:rPr>
          <w:rFonts w:ascii="Times New Roman" w:hAnsi="Times New Roman" w:eastAsia="宋体" w:cs="Times New Roman"/>
          <w:b/>
          <w:bCs/>
          <w:color w:val="auto"/>
          <w:kern w:val="0"/>
          <w:sz w:val="24"/>
          <w:highlight w:val="none"/>
        </w:rPr>
      </w:pPr>
      <w:r>
        <w:rPr>
          <w:rFonts w:ascii="Times New Roman" w:hAnsi="Times New Roman" w:eastAsia="宋体" w:cs="Times New Roman"/>
          <w:b/>
          <w:bCs/>
          <w:color w:val="auto"/>
          <w:kern w:val="0"/>
          <w:sz w:val="24"/>
          <w:highlight w:val="none"/>
        </w:rPr>
        <w:t>13、预算金额：462万元</w:t>
      </w:r>
    </w:p>
    <w:p w14:paraId="4C35DDD0">
      <w:pPr>
        <w:widowControl/>
        <w:tabs>
          <w:tab w:val="left" w:pos="900"/>
        </w:tabs>
        <w:spacing w:line="360" w:lineRule="auto"/>
        <w:ind w:firstLine="482" w:firstLineChars="200"/>
        <w:jc w:val="left"/>
        <w:rPr>
          <w:rFonts w:hint="eastAsia" w:ascii="宋体" w:hAnsi="宋体" w:eastAsia="宋体" w:cs="宋体"/>
          <w:b/>
          <w:bCs/>
          <w:color w:val="auto"/>
          <w:kern w:val="0"/>
          <w:sz w:val="24"/>
          <w:highlight w:val="none"/>
        </w:rPr>
      </w:pPr>
      <w:r>
        <w:rPr>
          <w:rFonts w:ascii="Times New Roman" w:hAnsi="Times New Roman" w:eastAsia="宋体" w:cs="Times New Roman"/>
          <w:b/>
          <w:bCs/>
          <w:color w:val="auto"/>
          <w:kern w:val="0"/>
          <w:sz w:val="24"/>
          <w:highlight w:val="none"/>
        </w:rPr>
        <w:t>最高限价（如有）：462万元</w:t>
      </w:r>
    </w:p>
    <w:p w14:paraId="77BBE4BE">
      <w:bookmarkStart w:id="1" w:name="_GoBack"/>
      <w:bookmarkEnd w:id="1"/>
    </w:p>
    <w:sectPr>
      <w:headerReference r:id="rId3" w:type="first"/>
      <w:footerReference r:id="rId5" w:type="first"/>
      <w:footerReference r:id="rId4" w:type="default"/>
      <w:pgSz w:w="11906" w:h="16838"/>
      <w:pgMar w:top="1418" w:right="1418" w:bottom="1418"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man Old Style">
    <w:panose1 w:val="02050604050505020204"/>
    <w:charset w:val="00"/>
    <w:family w:val="roman"/>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C84E5">
    <w:pPr>
      <w:pStyle w:val="7"/>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PAGE   \* MERGEFORMAT</w:instrText>
    </w:r>
    <w:r>
      <w:rPr>
        <w:rFonts w:ascii="Times New Roman" w:hAnsi="Times New Roman" w:eastAsia="宋体" w:cs="Times New Roman"/>
      </w:rPr>
      <w:fldChar w:fldCharType="separate"/>
    </w:r>
    <w:r>
      <w:rPr>
        <w:rFonts w:ascii="Times New Roman" w:hAnsi="Times New Roman" w:eastAsia="宋体" w:cs="Times New Roman"/>
        <w:lang w:val="zh-CN"/>
      </w:rPr>
      <w:t>77</w:t>
    </w:r>
    <w:r>
      <w:rPr>
        <w:rFonts w:ascii="Times New Roman" w:hAnsi="Times New Roman" w:eastAsia="宋体"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F2983">
    <w:pPr>
      <w:pStyle w:val="7"/>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PAGE   \* MERGEFORMAT</w:instrText>
    </w:r>
    <w:r>
      <w:rPr>
        <w:rFonts w:ascii="Times New Roman" w:hAnsi="Times New Roman" w:eastAsia="宋体" w:cs="Times New Roman"/>
      </w:rPr>
      <w:fldChar w:fldCharType="separate"/>
    </w:r>
    <w:r>
      <w:rPr>
        <w:rFonts w:ascii="Times New Roman" w:hAnsi="Times New Roman" w:eastAsia="宋体" w:cs="Times New Roman"/>
        <w:lang w:val="zh-CN"/>
      </w:rPr>
      <w:t>43</w:t>
    </w:r>
    <w:r>
      <w:rPr>
        <w:rFonts w:ascii="Times New Roman" w:hAnsi="Times New Roman" w:eastAsia="宋体" w:cs="Times New Roma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1B15E">
    <w:pPr>
      <w:rPr>
        <w:rFonts w:ascii="Times New Roman" w:hAnsi="Times New Roman" w:eastAsia="宋体"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67D98B"/>
    <w:multiLevelType w:val="singleLevel"/>
    <w:tmpl w:val="1C67D98B"/>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76105E"/>
    <w:rsid w:val="60761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unhideWhenUsed/>
    <w:qFormat/>
    <w:uiPriority w:val="99"/>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3">
    <w:name w:val="annotation text"/>
    <w:qFormat/>
    <w:uiPriority w:val="99"/>
    <w:pPr>
      <w:widowControl w:val="0"/>
      <w:jc w:val="left"/>
    </w:pPr>
    <w:rPr>
      <w:rFonts w:ascii="Cambria" w:hAnsi="Cambria" w:eastAsia="宋体" w:cs="Times New Roman"/>
      <w:kern w:val="2"/>
      <w:sz w:val="21"/>
      <w:szCs w:val="21"/>
      <w:lang w:val="en-US" w:eastAsia="zh-CN" w:bidi="ar-SA"/>
    </w:rPr>
  </w:style>
  <w:style w:type="paragraph" w:styleId="4">
    <w:name w:val="Body Text Indent"/>
    <w:next w:val="5"/>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5">
    <w:name w:val="envelope return"/>
    <w:unhideWhenUsed/>
    <w:qFormat/>
    <w:uiPriority w:val="99"/>
    <w:pPr>
      <w:widowControl w:val="0"/>
      <w:snapToGrid w:val="0"/>
      <w:jc w:val="both"/>
    </w:pPr>
    <w:rPr>
      <w:rFonts w:ascii="Arial" w:hAnsi="Arial" w:eastAsia="宋体" w:cs="Times New Roman"/>
      <w:kern w:val="2"/>
      <w:sz w:val="21"/>
      <w:szCs w:val="24"/>
      <w:lang w:val="en-US" w:eastAsia="zh-CN" w:bidi="ar-SA"/>
    </w:rPr>
  </w:style>
  <w:style w:type="paragraph" w:styleId="6">
    <w:name w:val="List 2"/>
    <w:qFormat/>
    <w:uiPriority w:val="0"/>
    <w:pPr>
      <w:widowControl w:val="0"/>
      <w:adjustRightInd w:val="0"/>
      <w:spacing w:line="360" w:lineRule="atLeast"/>
      <w:ind w:left="100" w:leftChars="200" w:hanging="200" w:hangingChars="200"/>
      <w:jc w:val="left"/>
      <w:textAlignment w:val="baseline"/>
    </w:pPr>
    <w:rPr>
      <w:rFonts w:ascii="Times New Roman" w:hAnsi="Times New Roman" w:eastAsia="宋体" w:cs="Times New Roman"/>
      <w:kern w:val="0"/>
      <w:sz w:val="24"/>
      <w:szCs w:val="20"/>
      <w:lang w:val="en-US" w:eastAsia="zh-CN" w:bidi="ar-SA"/>
    </w:rPr>
  </w:style>
  <w:style w:type="paragraph" w:styleId="7">
    <w:name w:val="footer"/>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character" w:styleId="10">
    <w:name w:val="annotation reference"/>
    <w:qFormat/>
    <w:uiPriority w:val="99"/>
    <w:rPr>
      <w:sz w:val="21"/>
      <w:szCs w:val="21"/>
    </w:rPr>
  </w:style>
  <w:style w:type="paragraph" w:customStyle="1" w:styleId="11">
    <w:name w:val="Sol-702GF报告-正文-内容"/>
    <w:qFormat/>
    <w:uiPriority w:val="0"/>
    <w:pPr>
      <w:widowControl/>
      <w:spacing w:line="360" w:lineRule="auto"/>
      <w:ind w:firstLine="200" w:firstLineChars="200"/>
      <w:jc w:val="both"/>
    </w:pPr>
    <w:rPr>
      <w:rFonts w:ascii="宋体" w:hAnsi="Times New Roman" w:eastAsia="宋体" w:cs="宋体"/>
      <w:kern w:val="2"/>
      <w:sz w:val="24"/>
      <w:szCs w:val="24"/>
      <w:lang w:val="en-US" w:eastAsia="zh-CN" w:bidi="ar-SA"/>
    </w:rPr>
  </w:style>
  <w:style w:type="paragraph" w:customStyle="1" w:styleId="12">
    <w:name w:val="A正文"/>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2026-11-06T07:32:00Z</dcterms:created>
  <dc:creator>NRQ</dc:creator>
  <cp:lastModifiedBy>NRQ</cp:lastModifiedBy>
  <dcterms:modified xsi:type="dcterms:W3CDTF">2026-11-06T07:32:50Z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E95C98F8711449958867BABF64223027_11</vt:lpwstr>
  </property>
  <property fmtid="{D5CDD505-2E9C-101B-9397-08002B2CF9AE}" pid="4" name="KSOTemplateDocerSaveRecord">
    <vt:lpwstr>eyJoZGlkIjoiMTIxZDcwNTViY2ZjMjRiOWYwMDk4OWZiMzNjNDVhYjMiLCJ1c2VySWQiOiIzMTk1NTE3MjgifQ==</vt:lpwstr>
  </property>
</Properties>
</file>