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outlineLvl w:val="1"/>
        <w:rPr>
          <w:rFonts w:hint="default"/>
          <w:color w:val="000000" w:themeColor="text1"/>
          <w14:textFill>
            <w14:solidFill>
              <w14:schemeClr w14:val="tx1"/>
            </w14:solidFill>
          </w14:textFill>
        </w:rPr>
      </w:pPr>
      <w:r>
        <w:rPr>
          <w:b/>
          <w:color w:val="000000" w:themeColor="text1"/>
          <w:sz w:val="36"/>
          <w14:textFill>
            <w14:solidFill>
              <w14:schemeClr w14:val="tx1"/>
            </w14:solidFill>
          </w14:textFill>
        </w:rPr>
        <w:t>第二章 采购需求</w:t>
      </w:r>
    </w:p>
    <w:p>
      <w:pPr>
        <w:pStyle w:val="6"/>
        <w:outlineLvl w:val="2"/>
        <w:rPr>
          <w:rFonts w:hint="default"/>
          <w:color w:val="000000" w:themeColor="text1"/>
          <w14:textFill>
            <w14:solidFill>
              <w14:schemeClr w14:val="tx1"/>
            </w14:solidFill>
          </w14:textFill>
        </w:rPr>
      </w:pPr>
    </w:p>
    <w:p>
      <w:pPr>
        <w:numPr>
          <w:ilvl w:val="0"/>
          <w:numId w:val="1"/>
        </w:numPr>
        <w:spacing w:line="360" w:lineRule="auto"/>
        <w:outlineLvl w:val="1"/>
        <w:rPr>
          <w:rFonts w:hint="eastAsia"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项目概况</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序号</w:t>
            </w:r>
          </w:p>
        </w:tc>
        <w:tc>
          <w:tcPr>
            <w:tcW w:w="7795"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1</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项目属性：货物类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2</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本项目核心产品为多维度全场扫描激光测振仪、工业高速摄影仪、</w:t>
            </w:r>
            <w:bookmarkStart w:id="0" w:name="OLE_LINK19"/>
            <w:r>
              <w:rPr>
                <w:rFonts w:hint="eastAsia" w:ascii="宋体" w:hAnsi="宋体" w:cs="宋体"/>
                <w:color w:val="000000" w:themeColor="text1"/>
                <w:kern w:val="0"/>
                <w:sz w:val="28"/>
                <w:szCs w:val="28"/>
                <w14:textFill>
                  <w14:solidFill>
                    <w14:schemeClr w14:val="tx1"/>
                  </w14:solidFill>
                </w14:textFill>
              </w:rPr>
              <w:t>镀膜机</w:t>
            </w:r>
            <w:bookmarkEnd w:id="0"/>
            <w:r>
              <w:rPr>
                <w:rFonts w:hint="eastAsia" w:ascii="宋体" w:hAnsi="宋体" w:cs="宋体"/>
                <w:color w:val="000000" w:themeColor="text1"/>
                <w:kern w:val="0"/>
                <w:sz w:val="28"/>
                <w:szCs w:val="28"/>
                <w14:textFill>
                  <w14:solidFill>
                    <w14:schemeClr w14:val="tx1"/>
                  </w14:solidFill>
                </w14:textFill>
              </w:rPr>
              <w:t>（多家投标人提供的核心产品中任意一个产品品牌相同的，按一家投标人计算）。投标人必须在投标文件中填写所投核心产品的品牌，否则按无效投标处理。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3</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★凡属于《中华人民共和国实施强制性产品认证的产品目录》的产品，请投标人在投标文件中承诺在交货时提供该产品的“中国强制性产品认证”（CCC认证）证书。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4</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★本次采购不接受进口产品（进口产品指通过中国海关报关验放进入中国境内且产自关境外的产品）。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5</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投标人所投货物属于本国产品的，投标人需填写《关于符合本国产品标准的声明函》《关于本国产品比例的声明函》（见“第六章 投标文件格式与要求”格式五中附件2、附件3）作为价格评审的依据。因本项目采购标的的中国境内生产的组件成本占比相关要求、关键组件要求及关键工序要求暂未实施，因此《关于符合本国产品标准的声明函》中的“规定比例”栏、“关键组件”栏、“关键工序”栏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w:t>
            </w:r>
          </w:p>
        </w:tc>
        <w:tc>
          <w:tcPr>
            <w:tcW w:w="7795" w:type="dxa"/>
          </w:tcPr>
          <w:p>
            <w:pPr>
              <w:jc w:val="center"/>
              <w:rPr>
                <w:rFonts w:hint="eastAsia" w:ascii="宋体" w:hAnsi="宋体" w:cs="宋体"/>
                <w:b/>
                <w:bCs/>
                <w:color w:val="000000" w:themeColor="text1"/>
                <w:kern w:val="0"/>
                <w:sz w:val="28"/>
                <w:szCs w:val="28"/>
                <w14:textFill>
                  <w14:solidFill>
                    <w14:schemeClr w14:val="tx1"/>
                  </w14:solidFill>
                </w14:textFill>
              </w:rPr>
            </w:pPr>
            <w:r>
              <w:rPr>
                <w:rFonts w:hint="eastAsia" w:ascii="宋体" w:hAnsi="宋体" w:cs="宋体"/>
                <w:b/>
                <w:bCs/>
                <w:color w:val="000000" w:themeColor="text1"/>
                <w:kern w:val="0"/>
                <w:sz w:val="28"/>
                <w:szCs w:val="28"/>
                <w14:textFill>
                  <w14:solidFill>
                    <w14:schemeClr w14:val="tx1"/>
                  </w14:solidFill>
                </w14:textFill>
              </w:rPr>
              <w:t>核心功能演示要求</w:t>
            </w:r>
          </w:p>
          <w:p>
            <w:pPr>
              <w:jc w:val="left"/>
              <w:rPr>
                <w:rFonts w:hint="eastAsia"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本项目要求在评审过程中进行核心功能演示，建议供应商在投标文件（首次响应文件）解密时间截止后1小时内到达指定地点</w:t>
            </w:r>
            <w:r>
              <w:rPr>
                <w:rFonts w:ascii="宋体" w:hAnsi="宋体" w:cs="宋体"/>
                <w:color w:val="000000" w:themeColor="text1"/>
                <w:kern w:val="0"/>
                <w:sz w:val="28"/>
                <w:szCs w:val="28"/>
                <w14:textFill>
                  <w14:solidFill>
                    <w14:schemeClr w14:val="tx1"/>
                  </w14:solidFill>
                </w14:textFill>
              </w:rPr>
              <w:t>（广州市天河区天润路447号广州市政府采购中心（太阳广场）四楼供应商等候区</w:t>
            </w:r>
            <w:r>
              <w:rPr>
                <w:rFonts w:ascii="宋体" w:hAnsi="宋体" w:cs="宋体"/>
                <w:color w:val="000000" w:themeColor="text1"/>
                <w:sz w:val="28"/>
                <w:szCs w:val="28"/>
                <w14:textFill>
                  <w14:solidFill>
                    <w14:schemeClr w14:val="tx1"/>
                  </w14:solidFill>
                </w14:textFill>
              </w:rPr>
              <w:t>）。核心功能演示开始时间由评审委员会确定，如供应商未在评审委员会规定的时间内到达核心功能演示地点进行核心功能演示，评审委员会有权视其放弃核心功能演示。</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（一）本项目由有效投标人于评标过程中进行</w:t>
            </w:r>
            <w:r>
              <w:rPr>
                <w:rFonts w:hint="eastAsia" w:ascii="宋体" w:hAnsi="宋体" w:cs="宋体"/>
                <w:color w:val="000000" w:themeColor="text1"/>
                <w:kern w:val="0"/>
                <w:sz w:val="28"/>
                <w:szCs w:val="28"/>
                <w14:textFill>
                  <w14:solidFill>
                    <w14:schemeClr w14:val="tx1"/>
                  </w14:solidFill>
                </w14:textFill>
              </w:rPr>
              <w:t>核心功能演示</w:t>
            </w:r>
            <w:r>
              <w:rPr>
                <w:rFonts w:ascii="宋体" w:hAnsi="宋体" w:cs="宋体"/>
                <w:color w:val="000000" w:themeColor="text1"/>
                <w:kern w:val="0"/>
                <w:sz w:val="28"/>
                <w:szCs w:val="28"/>
                <w14:textFill>
                  <w14:solidFill>
                    <w14:schemeClr w14:val="tx1"/>
                  </w14:solidFill>
                </w14:textFill>
              </w:rPr>
              <w:t>，方案讲解或原型演示或答辩人员的身份由评审专家进行核验</w:t>
            </w:r>
            <w:r>
              <w:rPr>
                <w:rFonts w:hint="eastAsia" w:ascii="宋体" w:hAnsi="宋体" w:cs="宋体"/>
                <w:color w:val="000000" w:themeColor="text1"/>
                <w:kern w:val="0"/>
                <w:sz w:val="28"/>
                <w:szCs w:val="28"/>
                <w14:textFill>
                  <w14:solidFill>
                    <w14:schemeClr w14:val="tx1"/>
                  </w14:solidFill>
                </w14:textFill>
              </w:rPr>
              <w:t>，</w:t>
            </w:r>
            <w:r>
              <w:rPr>
                <w:rFonts w:ascii="宋体" w:hAnsi="宋体" w:cs="宋体"/>
                <w:color w:val="000000" w:themeColor="text1"/>
                <w:kern w:val="0"/>
                <w:sz w:val="28"/>
                <w:szCs w:val="28"/>
                <w14:textFill>
                  <w14:solidFill>
                    <w14:schemeClr w14:val="tx1"/>
                  </w14:solidFill>
                </w14:textFill>
              </w:rPr>
              <w:t>请投标人自行准备相关文件。</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（二）授权委托代理人须凭身份证原件参加</w:t>
            </w:r>
            <w:r>
              <w:rPr>
                <w:rFonts w:hint="eastAsia" w:ascii="宋体" w:hAnsi="宋体" w:cs="宋体"/>
                <w:color w:val="000000" w:themeColor="text1"/>
                <w:kern w:val="0"/>
                <w:sz w:val="28"/>
                <w:szCs w:val="28"/>
                <w14:textFill>
                  <w14:solidFill>
                    <w14:schemeClr w14:val="tx1"/>
                  </w14:solidFill>
                </w14:textFill>
              </w:rPr>
              <w:t>核心功能演示</w:t>
            </w:r>
            <w:r>
              <w:rPr>
                <w:rFonts w:ascii="宋体" w:hAnsi="宋体" w:cs="宋体"/>
                <w:color w:val="000000" w:themeColor="text1"/>
                <w:kern w:val="0"/>
                <w:sz w:val="28"/>
                <w:szCs w:val="28"/>
                <w14:textFill>
                  <w14:solidFill>
                    <w14:schemeClr w14:val="tx1"/>
                  </w14:solidFill>
                </w14:textFill>
              </w:rPr>
              <w:t>，参加人数不超过3人（含授权委托代理人在内）。</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（三）如</w:t>
            </w:r>
            <w:r>
              <w:rPr>
                <w:rFonts w:hint="eastAsia" w:ascii="宋体" w:hAnsi="宋体" w:cs="宋体"/>
                <w:color w:val="000000" w:themeColor="text1"/>
                <w:kern w:val="0"/>
                <w:sz w:val="28"/>
                <w:szCs w:val="28"/>
                <w14:textFill>
                  <w14:solidFill>
                    <w14:schemeClr w14:val="tx1"/>
                  </w14:solidFill>
                </w14:textFill>
              </w:rPr>
              <w:t>核心功能演示</w:t>
            </w:r>
            <w:r>
              <w:rPr>
                <w:rFonts w:ascii="宋体" w:hAnsi="宋体" w:cs="宋体"/>
                <w:color w:val="000000" w:themeColor="text1"/>
                <w:kern w:val="0"/>
                <w:sz w:val="28"/>
                <w:szCs w:val="28"/>
                <w14:textFill>
                  <w14:solidFill>
                    <w14:schemeClr w14:val="tx1"/>
                  </w14:solidFill>
                </w14:textFill>
              </w:rPr>
              <w:t>过程中需要用到电脑等设备（设备不能共用），请投标人自带，评标现场仅提供电源和投影设备。</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（四）</w:t>
            </w:r>
            <w:r>
              <w:rPr>
                <w:rFonts w:hint="eastAsia" w:ascii="宋体" w:hAnsi="宋体" w:cs="宋体"/>
                <w:color w:val="000000" w:themeColor="text1"/>
                <w:kern w:val="0"/>
                <w:sz w:val="28"/>
                <w:szCs w:val="28"/>
                <w14:textFill>
                  <w14:solidFill>
                    <w14:schemeClr w14:val="tx1"/>
                  </w14:solidFill>
                </w14:textFill>
              </w:rPr>
              <w:t>核心功能演示</w:t>
            </w:r>
            <w:r>
              <w:rPr>
                <w:rFonts w:ascii="宋体" w:hAnsi="宋体" w:cs="宋体"/>
                <w:color w:val="000000" w:themeColor="text1"/>
                <w:kern w:val="0"/>
                <w:sz w:val="28"/>
                <w:szCs w:val="28"/>
                <w14:textFill>
                  <w14:solidFill>
                    <w14:schemeClr w14:val="tx1"/>
                  </w14:solidFill>
                </w14:textFill>
              </w:rPr>
              <w:t>时间</w:t>
            </w:r>
            <w:r>
              <w:rPr>
                <w:rFonts w:hint="eastAsia" w:ascii="宋体" w:hAnsi="宋体" w:cs="宋体"/>
                <w:color w:val="000000" w:themeColor="text1"/>
                <w:kern w:val="0"/>
                <w:sz w:val="28"/>
                <w:szCs w:val="28"/>
                <w14:textFill>
                  <w14:solidFill>
                    <w14:schemeClr w14:val="tx1"/>
                  </w14:solidFill>
                </w14:textFill>
              </w:rPr>
              <w:t>不超过</w:t>
            </w:r>
            <w:r>
              <w:rPr>
                <w:rFonts w:ascii="宋体" w:hAnsi="宋体" w:cs="宋体"/>
                <w:color w:val="000000" w:themeColor="text1"/>
                <w:kern w:val="0"/>
                <w:sz w:val="28"/>
                <w:szCs w:val="28"/>
                <w14:textFill>
                  <w14:solidFill>
                    <w14:schemeClr w14:val="tx1"/>
                  </w14:solidFill>
                </w14:textFill>
              </w:rPr>
              <w:t>15分钟。</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（五）投标人/供应商的</w:t>
            </w:r>
            <w:r>
              <w:rPr>
                <w:rFonts w:hint="eastAsia" w:ascii="宋体" w:hAnsi="宋体" w:cs="宋体"/>
                <w:color w:val="000000" w:themeColor="text1"/>
                <w:kern w:val="0"/>
                <w:sz w:val="28"/>
                <w:szCs w:val="28"/>
                <w14:textFill>
                  <w14:solidFill>
                    <w14:schemeClr w14:val="tx1"/>
                  </w14:solidFill>
                </w14:textFill>
              </w:rPr>
              <w:t>核心功能演示</w:t>
            </w:r>
            <w:r>
              <w:rPr>
                <w:rFonts w:ascii="宋体" w:hAnsi="宋体" w:cs="宋体"/>
                <w:color w:val="000000" w:themeColor="text1"/>
                <w:kern w:val="0"/>
                <w:sz w:val="28"/>
                <w:szCs w:val="28"/>
                <w14:textFill>
                  <w14:solidFill>
                    <w14:schemeClr w14:val="tx1"/>
                  </w14:solidFill>
                </w14:textFill>
              </w:rPr>
              <w:t>等顺序按《开标一览表》的顺序进行。</w:t>
            </w:r>
          </w:p>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六）多功能室大门尺寸（宽0.8米×高2.1米），多功能室体积（长5米×宽2.7米×高2.4米）。请供应商根据多功能室的大门尺寸和体积安排演示内容或产品。如因多功能室无法满足供应商演示内容或产品，造成的不利后果由供应商自行承担。</w:t>
            </w:r>
          </w:p>
          <w:p>
            <w:pPr>
              <w:pStyle w:val="6"/>
              <w:widowControl w:val="0"/>
              <w:numPr>
                <w:ilvl w:val="255"/>
                <w:numId w:val="0"/>
              </w:numPr>
              <w:jc w:val="left"/>
              <w:rPr>
                <w:rFonts w:ascii="宋体" w:hAnsi="宋体" w:eastAsia="宋体" w:cs="宋体"/>
                <w:color w:val="000000" w:themeColor="text1"/>
                <w:sz w:val="28"/>
                <w:szCs w:val="28"/>
                <w:lang w:eastAsia="zh-CN"/>
                <w14:textFill>
                  <w14:solidFill>
                    <w14:schemeClr w14:val="tx1"/>
                  </w14:solidFill>
                </w14:textFill>
              </w:rPr>
            </w:pPr>
            <w:r>
              <w:rPr>
                <w:rFonts w:hint="default" w:ascii="宋体" w:hAnsi="宋体" w:eastAsia="宋体" w:cs="宋体"/>
                <w:color w:val="000000" w:themeColor="text1"/>
                <w:sz w:val="28"/>
                <w:szCs w:val="28"/>
                <w:lang w:eastAsia="zh-CN"/>
                <w14:textFill>
                  <w14:solidFill>
                    <w14:schemeClr w14:val="tx1"/>
                  </w14:solidFill>
                </w14:textFill>
              </w:rPr>
              <w:t>（</w:t>
            </w:r>
            <w:r>
              <w:rPr>
                <w:rFonts w:ascii="宋体" w:hAnsi="宋体" w:eastAsia="宋体" w:cs="宋体"/>
                <w:color w:val="000000" w:themeColor="text1"/>
                <w:sz w:val="28"/>
                <w:szCs w:val="28"/>
                <w:lang w:eastAsia="zh-CN"/>
                <w14:textFill>
                  <w14:solidFill>
                    <w14:schemeClr w14:val="tx1"/>
                  </w14:solidFill>
                </w14:textFill>
              </w:rPr>
              <w:t>七</w:t>
            </w:r>
            <w:r>
              <w:rPr>
                <w:rFonts w:hint="default" w:ascii="宋体" w:hAnsi="宋体" w:eastAsia="宋体" w:cs="宋体"/>
                <w:color w:val="000000" w:themeColor="text1"/>
                <w:sz w:val="28"/>
                <w:szCs w:val="28"/>
                <w:lang w:eastAsia="zh-CN"/>
                <w14:textFill>
                  <w14:solidFill>
                    <w14:schemeClr w14:val="tx1"/>
                  </w14:solidFill>
                </w14:textFill>
              </w:rPr>
              <w:t>）</w:t>
            </w:r>
            <w:r>
              <w:rPr>
                <w:rFonts w:ascii="宋体" w:hAnsi="宋体" w:eastAsia="宋体" w:cs="宋体"/>
                <w:color w:val="000000" w:themeColor="text1"/>
                <w:sz w:val="28"/>
                <w:szCs w:val="28"/>
                <w:lang w:eastAsia="zh-CN"/>
                <w14:textFill>
                  <w14:solidFill>
                    <w14:schemeClr w14:val="tx1"/>
                  </w14:solidFill>
                </w14:textFill>
              </w:rPr>
              <w:t>核心功能演示</w:t>
            </w:r>
            <w:r>
              <w:rPr>
                <w:rFonts w:hint="default" w:ascii="宋体" w:hAnsi="宋体" w:eastAsia="宋体" w:cs="宋体"/>
                <w:color w:val="000000" w:themeColor="text1"/>
                <w:sz w:val="28"/>
                <w:szCs w:val="28"/>
                <w:lang w:eastAsia="zh-CN"/>
                <w14:textFill>
                  <w14:solidFill>
                    <w14:schemeClr w14:val="tx1"/>
                  </w14:solidFill>
                </w14:textFill>
              </w:rPr>
              <w:t>内容</w:t>
            </w:r>
            <w:r>
              <w:rPr>
                <w:rFonts w:ascii="宋体" w:hAnsi="宋体" w:eastAsia="宋体" w:cs="宋体"/>
                <w:color w:val="000000" w:themeColor="text1"/>
                <w:sz w:val="28"/>
                <w:szCs w:val="28"/>
                <w:lang w:eastAsia="zh-CN"/>
                <w14:textFill>
                  <w14:solidFill>
                    <w14:schemeClr w14:val="tx1"/>
                  </w14:solidFill>
                </w14:textFill>
              </w:rPr>
              <w:t>详见：</w:t>
            </w:r>
          </w:p>
          <w:p>
            <w:pPr>
              <w:pStyle w:val="6"/>
              <w:widowControl w:val="0"/>
              <w:numPr>
                <w:ilvl w:val="255"/>
                <w:numId w:val="0"/>
              </w:numPr>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1.投标人需展示工业高速摄影仪的分辨率是否支持ROI调节；</w:t>
            </w:r>
          </w:p>
          <w:p>
            <w:pPr>
              <w:pStyle w:val="6"/>
              <w:widowControl w:val="0"/>
              <w:numPr>
                <w:ilvl w:val="255"/>
                <w:numId w:val="0"/>
              </w:numPr>
              <w:jc w:val="left"/>
              <w:rPr>
                <w:rFonts w:ascii="宋体" w:hAnsi="宋体" w:eastAsia="宋体" w:cs="宋体"/>
                <w:color w:val="000000" w:themeColor="text1"/>
                <w:sz w:val="28"/>
                <w:szCs w:val="28"/>
                <w:lang w:eastAsia="zh-CN"/>
                <w14:textFill>
                  <w14:solidFill>
                    <w14:schemeClr w14:val="tx1"/>
                  </w14:solidFill>
                </w14:textFill>
              </w:rPr>
            </w:pPr>
            <w:r>
              <w:rPr>
                <w:rFonts w:ascii="宋体" w:hAnsi="宋体" w:eastAsia="宋体" w:cs="宋体"/>
                <w:color w:val="000000" w:themeColor="text1"/>
                <w:sz w:val="28"/>
                <w:szCs w:val="28"/>
                <w:lang w:eastAsia="zh-CN"/>
                <w14:textFill>
                  <w14:solidFill>
                    <w14:schemeClr w14:val="tx1"/>
                  </w14:solidFill>
                </w14:textFill>
              </w:rPr>
              <w:t>2投标人需展示工业高速摄影仪查看采集软件内存和存储的空间大小；</w:t>
            </w:r>
          </w:p>
          <w:p>
            <w:pPr>
              <w:jc w:val="left"/>
              <w:rPr>
                <w:rFonts w:hint="eastAsia" w:ascii="宋体" w:hAnsi="宋体" w:cs="宋体"/>
                <w:color w:val="000000" w:themeColor="text1"/>
                <w:kern w:val="0"/>
                <w:sz w:val="28"/>
                <w:szCs w:val="28"/>
                <w14:textFill>
                  <w14:solidFill>
                    <w14:schemeClr w14:val="tx1"/>
                  </w14:solidFill>
                </w14:textFill>
              </w:rPr>
            </w:pPr>
            <w:r>
              <w:rPr>
                <w:rFonts w:ascii="宋体" w:hAnsi="宋体" w:cs="宋体"/>
                <w:color w:val="000000" w:themeColor="text1"/>
                <w:kern w:val="0"/>
                <w:sz w:val="28"/>
                <w:szCs w:val="28"/>
                <w14:textFill>
                  <w14:solidFill>
                    <w14:schemeClr w14:val="tx1"/>
                  </w14:solidFill>
                </w14:textFill>
              </w:rPr>
              <w:t>3.投标人需展示</w:t>
            </w:r>
            <w:r>
              <w:rPr>
                <w:rFonts w:hint="eastAsia" w:ascii="宋体" w:hAnsi="宋体" w:cs="宋体"/>
                <w:color w:val="000000" w:themeColor="text1"/>
                <w:kern w:val="0"/>
                <w:sz w:val="28"/>
                <w:szCs w:val="28"/>
                <w14:textFill>
                  <w14:solidFill>
                    <w14:schemeClr w14:val="tx1"/>
                  </w14:solidFill>
                </w14:textFill>
              </w:rPr>
              <w:t>工业高速摄影仪</w:t>
            </w:r>
            <w:r>
              <w:rPr>
                <w:rFonts w:ascii="宋体" w:hAnsi="宋体" w:cs="宋体"/>
                <w:color w:val="000000" w:themeColor="text1"/>
                <w:kern w:val="0"/>
                <w:sz w:val="28"/>
                <w:szCs w:val="28"/>
                <w14:textFill>
                  <w14:solidFill>
                    <w14:schemeClr w14:val="tx1"/>
                  </w14:solidFill>
                </w14:textFill>
              </w:rPr>
              <w:t>检测采集软件是否能采集到可见光图像。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7" w:type="dxa"/>
          </w:tcPr>
          <w:p>
            <w:pPr>
              <w:jc w:val="center"/>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7</w:t>
            </w:r>
          </w:p>
        </w:tc>
        <w:tc>
          <w:tcPr>
            <w:tcW w:w="7795" w:type="dxa"/>
          </w:tcPr>
          <w:p>
            <w:pPr>
              <w:jc w:val="left"/>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采购人拟采购的工作站、实验台，属于《环境标志产品政府采购品目清单》范围，投标人需填写《政策适用性说明》（见投标文件格式）并提交相关证明材料（证明材料包括：1.该产品属于《环境标志产品政府采购品目清单》范围的相关内容页，并对相关内容作圈记；2.市场监管总局公布的参与实施政府采购环境标志产品认证机构名录截图；3.该产品获得的由国家确定的认证机构出具的、处于有效期之内的环境标志产品认证证书），作为技术评审的依据（注：《环境标志产品政府采购品目清单》投标人可查询中国政府采购网，网址http://www.ccgp.gov.cn）。</w:t>
            </w:r>
          </w:p>
        </w:tc>
      </w:tr>
    </w:tbl>
    <w:p>
      <w:pPr>
        <w:spacing w:line="360" w:lineRule="auto"/>
        <w:outlineLvl w:val="1"/>
        <w:rPr>
          <w:rFonts w:hint="eastAsia" w:ascii="仿宋" w:hAnsi="仿宋" w:eastAsia="仿宋" w:cs="仿宋"/>
          <w:b/>
          <w:bCs/>
          <w:color w:val="000000" w:themeColor="text1"/>
          <w:sz w:val="24"/>
          <w14:textFill>
            <w14:solidFill>
              <w14:schemeClr w14:val="tx1"/>
            </w14:solidFill>
          </w14:textFill>
        </w:rPr>
      </w:pPr>
    </w:p>
    <w:p>
      <w:pPr>
        <w:spacing w:line="560" w:lineRule="exact"/>
        <w:ind w:firstLine="600" w:firstLineChars="200"/>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1、采购项目需实现的功能和目标</w:t>
      </w:r>
    </w:p>
    <w:p>
      <w:pPr>
        <w:pStyle w:val="6"/>
        <w:ind w:firstLine="560" w:firstLineChars="200"/>
        <w:rPr>
          <w:rFonts w:hint="default"/>
          <w:color w:val="000000" w:themeColor="text1"/>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通过开展精密微纳智与检测实验室项目，加强应用型科研和产教融合，提高学生精密驱动、微纳加工与检测等前沿技能，达到了探索创新人才培养模式、提升教学科研水平、促进区域产业升级的绩效目标。项目构建高精度实训平台，支持教学与科研深度融合，对标“新双高”计划，助力智能制造工程本科专业建设，培养高素质技术技能人才。</w:t>
      </w:r>
    </w:p>
    <w:p>
      <w:pPr>
        <w:spacing w:before="156" w:beforeLines="50" w:line="560" w:lineRule="exact"/>
        <w:ind w:firstLine="643" w:firstLineChars="200"/>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采购清单</w:t>
      </w:r>
    </w:p>
    <w:tbl>
      <w:tblPr>
        <w:tblStyle w:val="3"/>
        <w:tblW w:w="6938"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47"/>
        <w:gridCol w:w="2340"/>
        <w:gridCol w:w="647"/>
        <w:gridCol w:w="949"/>
        <w:gridCol w:w="949"/>
        <w:gridCol w:w="140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序号</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货物名称</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数量</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计量</w:t>
            </w:r>
            <w:r>
              <w:rPr>
                <w:color w:val="000000" w:themeColor="text1"/>
                <w:sz w:val="28"/>
                <w:szCs w:val="28"/>
                <w14:textFill>
                  <w14:solidFill>
                    <w14:schemeClr w14:val="tx1"/>
                  </w14:solidFill>
                </w14:textFill>
              </w:rPr>
              <w:t>单位</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是否进口</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单价最高预算</w:t>
            </w:r>
            <w:r>
              <w:rPr>
                <w:rFonts w:hint="eastAsia"/>
                <w:color w:val="000000" w:themeColor="text1"/>
                <w:sz w:val="28"/>
                <w:szCs w:val="28"/>
                <w14:textFill>
                  <w14:solidFill>
                    <w14:schemeClr w14:val="tx1"/>
                  </w14:solidFill>
                </w14:textFill>
              </w:rPr>
              <w:t>（元）</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bookmarkStart w:id="1" w:name="OLE_LINK1" w:colFirst="1" w:colLast="1"/>
            <w:bookmarkStart w:id="2" w:name="OLE_LINK3" w:colFirst="3" w:colLast="3"/>
            <w:bookmarkStart w:id="3" w:name="OLE_LINK2" w:colFirst="6" w:colLast="6"/>
            <w:r>
              <w:rPr>
                <w:rFonts w:hint="eastAsia"/>
                <w:color w:val="000000" w:themeColor="text1"/>
                <w:szCs w:val="21"/>
                <w14:textFill>
                  <w14:solidFill>
                    <w14:schemeClr w14:val="tx1"/>
                  </w14:solidFill>
                </w14:textFill>
              </w:rPr>
              <w:t>1</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高频功率放大器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19,000.00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阻抗分析仪</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15,800.00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函数任意波形发生器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示波器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双目体视显微镜</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光谱共焦位移传感器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7</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直流功率放大器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92,000.00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多维度全场扫描激光测振仪</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98</w:t>
            </w:r>
            <w:r>
              <w:rPr>
                <w:rFonts w:hint="eastAsia"/>
                <w:color w:val="000000" w:themeColor="text1"/>
                <w:szCs w:val="21"/>
                <w14:textFill>
                  <w14:solidFill>
                    <w14:schemeClr w14:val="tx1"/>
                  </w14:solidFill>
                </w14:textFill>
              </w:rPr>
              <w:t>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机箱式压电控制器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NS-CS 多通道纳米电容传感器控制器</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11</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实时仿真系统</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17</w:t>
            </w:r>
            <w:r>
              <w:rPr>
                <w:rFonts w:hint="eastAsia"/>
                <w:color w:val="000000" w:themeColor="text1"/>
                <w:szCs w:val="21"/>
                <w14:textFill>
                  <w14:solidFill>
                    <w14:schemeClr w14:val="tx1"/>
                  </w14:solidFill>
                </w14:textFill>
              </w:rPr>
              <w:t>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12</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气浮隔振光学平台</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13</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工业高速摄影仪</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437,000.00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14</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激光共聚焦显微镜</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85</w:t>
            </w:r>
            <w:r>
              <w:rPr>
                <w:rFonts w:hint="eastAsia"/>
                <w:color w:val="000000" w:themeColor="text1"/>
                <w:szCs w:val="21"/>
                <w14:textFill>
                  <w14:solidFill>
                    <w14:schemeClr w14:val="tx1"/>
                  </w14:solidFill>
                </w14:textFill>
              </w:rPr>
              <w:t>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15</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镀膜机</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900,000.00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16</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磁控溅射镀膜系统</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530,000.00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17</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工作站</w:t>
            </w:r>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38,000.00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18</w:t>
            </w:r>
          </w:p>
        </w:tc>
        <w:tc>
          <w:tcPr>
            <w:tcW w:w="2340"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bookmarkStart w:id="4" w:name="OLE_LINK29"/>
            <w:r>
              <w:rPr>
                <w:rFonts w:hint="eastAsia"/>
                <w:color w:val="000000" w:themeColor="text1"/>
                <w:szCs w:val="21"/>
                <w14:textFill>
                  <w14:solidFill>
                    <w14:schemeClr w14:val="tx1"/>
                  </w14:solidFill>
                </w14:textFill>
              </w:rPr>
              <w:t>实验台</w:t>
            </w:r>
            <w:bookmarkEnd w:id="4"/>
          </w:p>
        </w:tc>
        <w:tc>
          <w:tcPr>
            <w:tcW w:w="647"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台</w:t>
            </w:r>
          </w:p>
        </w:tc>
        <w:tc>
          <w:tcPr>
            <w:tcW w:w="949"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w:t>
            </w:r>
          </w:p>
        </w:tc>
        <w:tc>
          <w:tcPr>
            <w:tcW w:w="1406"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8,750.00</w:t>
            </w:r>
          </w:p>
        </w:tc>
      </w:tr>
      <w:bookmarkEnd w:id="1"/>
      <w:bookmarkEnd w:id="2"/>
      <w:bookmarkEnd w:id="3"/>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6938" w:type="dxa"/>
            <w:gridSpan w:val="6"/>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总价（元）：</w:t>
            </w:r>
            <w:r>
              <w:rPr>
                <w:color w:val="000000" w:themeColor="text1"/>
                <w:sz w:val="28"/>
                <w:szCs w:val="28"/>
                <w14:textFill>
                  <w14:solidFill>
                    <w14:schemeClr w14:val="tx1"/>
                  </w14:solidFill>
                </w14:textFill>
              </w:rPr>
              <w:t>4,388,800.00</w:t>
            </w:r>
          </w:p>
        </w:tc>
      </w:tr>
    </w:tbl>
    <w:p>
      <w:pPr>
        <w:pStyle w:val="6"/>
        <w:rPr>
          <w:rFonts w:hint="default"/>
          <w:color w:val="000000" w:themeColor="text1"/>
          <w14:textFill>
            <w14:solidFill>
              <w14:schemeClr w14:val="tx1"/>
            </w14:solidFill>
          </w14:textFill>
        </w:rPr>
      </w:pPr>
    </w:p>
    <w:p>
      <w:pPr>
        <w:spacing w:line="560" w:lineRule="exact"/>
        <w:jc w:val="center"/>
        <w:rPr>
          <w:rFonts w:hint="eastAsia"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技术参数要求</w:t>
      </w:r>
    </w:p>
    <w:tbl>
      <w:tblPr>
        <w:tblStyle w:val="3"/>
        <w:tblW w:w="8522" w:type="dxa"/>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11"/>
        <w:gridCol w:w="895"/>
        <w:gridCol w:w="711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序号</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货物名称</w:t>
            </w:r>
          </w:p>
        </w:tc>
        <w:tc>
          <w:tcPr>
            <w:tcW w:w="711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技术参数要求（</w:t>
            </w:r>
            <w:r>
              <w:rPr>
                <w:color w:val="000000" w:themeColor="text1"/>
                <w:sz w:val="28"/>
                <w:szCs w:val="28"/>
                <w14:textFill>
                  <w14:solidFill>
                    <w14:schemeClr w14:val="tx1"/>
                  </w14:solidFill>
                </w14:textFill>
              </w:rPr>
              <w:t>包括性能、材料、结构、外观、</w:t>
            </w:r>
            <w:r>
              <w:rPr>
                <w:rFonts w:hint="eastAsia"/>
                <w:color w:val="000000" w:themeColor="text1"/>
                <w:sz w:val="28"/>
                <w:szCs w:val="28"/>
                <w14:textFill>
                  <w14:solidFill>
                    <w14:schemeClr w14:val="tx1"/>
                  </w14:solidFill>
                </w14:textFill>
              </w:rPr>
              <w:t>安全</w:t>
            </w:r>
            <w:r>
              <w:rPr>
                <w:color w:val="000000" w:themeColor="text1"/>
                <w:sz w:val="28"/>
                <w:szCs w:val="28"/>
                <w14:textFill>
                  <w14:solidFill>
                    <w14:schemeClr w14:val="tx1"/>
                  </w14:solidFill>
                </w14:textFill>
              </w:rPr>
              <w:t>或服务内容和服务标准</w:t>
            </w:r>
            <w:r>
              <w:rPr>
                <w:rFonts w:hint="eastAsia"/>
                <w:color w:val="000000" w:themeColor="text1"/>
                <w:sz w:val="28"/>
                <w:szCs w:val="28"/>
                <w14:textFill>
                  <w14:solidFill>
                    <w14:schemeClr w14:val="tx1"/>
                  </w14:solidFill>
                </w14:textFill>
              </w:rPr>
              <w:t>）</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高频功率放大器</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1.最高输出电压：600Vp-p</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2、最大输出电流：2Ap-p</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▲3、工作频率范围：5KHz--150KHz</w:t>
            </w:r>
            <w:r>
              <w:rPr>
                <w:rFonts w:ascii="宋体" w:hAnsi="宋体" w:cs="宋体"/>
                <w:color w:val="000000" w:themeColor="text1"/>
                <w:kern w:val="0"/>
                <w:sz w:val="18"/>
                <w:szCs w:val="18"/>
                <w14:textFill>
                  <w14:solidFill>
                    <w14:schemeClr w14:val="tx1"/>
                  </w14:solidFill>
                </w14:textFill>
              </w:rPr>
              <w:t>（需</w:t>
            </w:r>
            <w:r>
              <w:rPr>
                <w:rFonts w:hint="eastAsia" w:ascii="宋体" w:hAnsi="宋体" w:cs="宋体"/>
                <w:color w:val="000000" w:themeColor="text1"/>
                <w:kern w:val="0"/>
                <w:sz w:val="18"/>
                <w:szCs w:val="18"/>
                <w14:textFill>
                  <w14:solidFill>
                    <w14:schemeClr w14:val="tx1"/>
                  </w14:solidFill>
                </w14:textFill>
              </w:rPr>
              <w:t>提供</w:t>
            </w:r>
            <w:r>
              <w:rPr>
                <w:rFonts w:ascii="宋体" w:hAnsi="宋体" w:cs="宋体"/>
                <w:color w:val="000000" w:themeColor="text1"/>
                <w:kern w:val="0"/>
                <w:sz w:val="18"/>
                <w:szCs w:val="18"/>
                <w14:textFill>
                  <w14:solidFill>
                    <w14:schemeClr w14:val="tx1"/>
                  </w14:solidFill>
                </w14:textFill>
              </w:rPr>
              <w:t>制造商公布的说明</w:t>
            </w:r>
            <w:r>
              <w:rPr>
                <w:rFonts w:hint="eastAsia" w:ascii="宋体" w:hAnsi="宋体" w:cs="宋体"/>
                <w:color w:val="000000" w:themeColor="text1"/>
                <w:kern w:val="0"/>
                <w:sz w:val="18"/>
                <w:szCs w:val="18"/>
                <w14:textFill>
                  <w14:solidFill>
                    <w14:schemeClr w14:val="tx1"/>
                  </w14:solidFill>
                </w14:textFill>
              </w:rPr>
              <w:t>书扫描件或</w:t>
            </w:r>
            <w:bookmarkStart w:id="5" w:name="OLE_LINK27"/>
            <w:r>
              <w:rPr>
                <w:rFonts w:hint="eastAsia" w:ascii="宋体" w:hAnsi="宋体" w:cs="宋体"/>
                <w:color w:val="000000" w:themeColor="text1"/>
                <w:kern w:val="0"/>
                <w:sz w:val="18"/>
                <w:szCs w:val="18"/>
                <w14:textFill>
                  <w14:solidFill>
                    <w14:schemeClr w14:val="tx1"/>
                  </w14:solidFill>
                </w14:textFill>
              </w:rPr>
              <w:t>产品彩页扫描件或技术白皮书扫描件作为佐证材料</w:t>
            </w:r>
            <w:bookmarkEnd w:id="5"/>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4.非线性失真度：&lt;2%</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5.输出信噪：&gt;80db</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6.输入阻抗：10K</w:t>
            </w:r>
            <w:r>
              <w:rPr>
                <w:rFonts w:ascii="Calibri" w:hAnsi="Calibri" w:cs="Calibri"/>
                <w:color w:val="000000" w:themeColor="text1"/>
                <w:kern w:val="0"/>
                <w:sz w:val="18"/>
                <w:szCs w:val="18"/>
                <w14:textFill>
                  <w14:solidFill>
                    <w14:schemeClr w14:val="tx1"/>
                  </w14:solidFill>
                </w14:textFill>
              </w:rPr>
              <w:t>Ω</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7.输入信号幅值：0一士5Vp</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阻抗分析仪</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1.频率范围：1KHz</w:t>
            </w:r>
            <w:r>
              <w:rPr>
                <w:rFonts w:hint="eastAsia"/>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5MHz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2.测量指标：所有参数、图形</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3.基本精度：&lt;0.1%</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4.测量速度：5 秒/件（1000 点扫描）</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5.频率精度：±10ppm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6.相位分辨率：0.15度</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函数任意波形发生器</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1.上限输出频率：80MHz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2.采样率：1.2GSa/s(4X内插）</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3.垂直分辨率：16bit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4.正弦波：1</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Hz-80MHz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5.方波：1</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Hz-25MHz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6.脉冲：1</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Hz-25MHz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7.通道：2</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示波器</w:t>
            </w:r>
          </w:p>
        </w:tc>
        <w:tc>
          <w:tcPr>
            <w:tcW w:w="7116" w:type="dxa"/>
            <w:tcBorders>
              <w:top w:val="nil"/>
              <w:left w:val="nil"/>
              <w:bottom w:val="single" w:color="auto" w:sz="4" w:space="0"/>
              <w:right w:val="single" w:color="auto" w:sz="4" w:space="0"/>
            </w:tcBorders>
            <w:vAlign w:val="center"/>
          </w:tcPr>
          <w:p>
            <w:pPr>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1.带宽：200MHz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2.实时采样率：4通道系列采用两片1GSa/sADC芯片通道全部开启时，每通道采样率500MSa/s，通道交织模式采样率1GSa/s</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3.存储深度：非交织模式7Mpts/CH，通道交织模式14 Mpts/CH</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4.波形捕获率：200,000 wfm/s (Sequence 模式）</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5.触发类型：边沿（Edge)、斜率（Slope)、脉宽（Pulse width)、窗口（Window)、欠幅（Runt)、间隔（Interval)、超时（Dropout)、码型（Pattern)、视频（Video)、串行触发（IIC、SPI、UART/RS232、CAN、LIN)</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6.USB任意波形发生器：单通道，最高输出频率25MHz，采样率125MSa/s，波形长度16kpts</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双目体视显微镜</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1.光学倍率（以实际选择配置为准）：3.5X-180X</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2.观察头：45°倾斜，360°旋转双目头，瞳距调节范围55-75mm，调节屈光度＋5</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3.工作距离：90mm-110mm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4.物镜倍数：0.7~4.5X</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5.调焦托架，调焦镜架，调焦手轮松紧可调，升级范围50mm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6.上光源：LED可调光源</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光谱共焦位移传感器</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1.工作距离：≤24.8mm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2.量程：±1，25mm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3.线性精度：±0.62</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4.分辨率：≤6nm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5.光点直径：≤13</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6.最小可测厚度：≤83</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直流功率放大器</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1.输出形式：单端输出</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★2.带宽（-3dB）：DC~500kHz（</w:t>
            </w:r>
            <w:bookmarkStart w:id="6" w:name="OLE_LINK20"/>
            <w:r>
              <w:rPr>
                <w:rFonts w:hint="eastAsia" w:ascii="宋体" w:hAnsi="宋体" w:cs="宋体"/>
                <w:color w:val="000000" w:themeColor="text1"/>
                <w:kern w:val="0"/>
                <w:sz w:val="18"/>
                <w:szCs w:val="18"/>
                <w14:textFill>
                  <w14:solidFill>
                    <w14:schemeClr w14:val="tx1"/>
                  </w14:solidFill>
                </w14:textFill>
              </w:rPr>
              <w:t>投标文件内须提供制造商对社会公开公布的说明书或产品彩页为佐证材料</w:t>
            </w:r>
            <w:bookmarkEnd w:id="6"/>
            <w:r>
              <w:rPr>
                <w:rFonts w:hint="eastAsia"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3.最大输出电压：310Vp-p（±155Vp）</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4.最大输出电流：0.75Ap（DC~50Hz）2.12Ap,1.5Arms（&gt;50Hz）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5.最大输出功率：328.6Wp</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6.保险丝：8A/250V</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7.电压增益：X0~100（0.1 step/1 step）</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8.负载RL上限：≥206</w:t>
            </w:r>
            <w:r>
              <w:rPr>
                <w:rFonts w:ascii="Calibri" w:hAnsi="Calibri" w:cs="Calibri"/>
                <w:color w:val="000000" w:themeColor="text1"/>
                <w:kern w:val="0"/>
                <w:sz w:val="18"/>
                <w:szCs w:val="18"/>
                <w14:textFill>
                  <w14:solidFill>
                    <w14:schemeClr w14:val="tx1"/>
                  </w14:solidFill>
                </w14:textFill>
              </w:rPr>
              <w:t>Ω</w:t>
            </w:r>
            <w:r>
              <w:rPr>
                <w:rFonts w:hint="eastAsia" w:ascii="宋体" w:hAnsi="宋体" w:cs="宋体"/>
                <w:color w:val="000000" w:themeColor="text1"/>
                <w:kern w:val="0"/>
                <w:sz w:val="18"/>
                <w:szCs w:val="18"/>
                <w14:textFill>
                  <w14:solidFill>
                    <w14:schemeClr w14:val="tx1"/>
                  </w14:solidFill>
                </w14:textFill>
              </w:rPr>
              <w:t>（DC~50Hz），≥72.5</w:t>
            </w:r>
            <w:r>
              <w:rPr>
                <w:rFonts w:ascii="Calibri" w:hAnsi="Calibri" w:cs="Calibri"/>
                <w:color w:val="000000" w:themeColor="text1"/>
                <w:kern w:val="0"/>
                <w:sz w:val="18"/>
                <w:szCs w:val="18"/>
                <w14:textFill>
                  <w14:solidFill>
                    <w14:schemeClr w14:val="tx1"/>
                  </w14:solidFill>
                </w14:textFill>
              </w:rPr>
              <w:t>Ω</w:t>
            </w:r>
            <w:r>
              <w:rPr>
                <w:rFonts w:hint="eastAsia" w:ascii="宋体" w:hAnsi="宋体" w:cs="宋体"/>
                <w:color w:val="000000" w:themeColor="text1"/>
                <w:kern w:val="0"/>
                <w:sz w:val="18"/>
                <w:szCs w:val="18"/>
                <w14:textFill>
                  <w14:solidFill>
                    <w14:schemeClr w14:val="tx1"/>
                  </w14:solidFill>
                </w14:textFill>
              </w:rPr>
              <w:t>（&gt;50Hz）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多维度全场扫描激光测振仪</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1.激光参数：波长600–650 nm，功率&lt;2 mW（I级安全）</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★2.工作距离：标准0.02–8 m（最远≥8 m）（投标文件内须提供制造商对社会公开公布的说明书或产品彩页为佐证材料）</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3.显微镜头性能：</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  - 5倍：斑点≤5 </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m，工作距离≥13 mm，视场≤1.5×1.2 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  - 10倍：斑点≤3 </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m，工作距离≥9 mm，视场≤0.75×0.55 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  - 20倍：斑点≤1.5 </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m，工作距离≥3 mm，视场≤0.4×0.3 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4.速度测量线性误差：所有档位≤0.5%</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5.成像系统：实时高清色彩，360倍变焦（30倍光学+12倍数字）</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★6.振动频率范围：DC～3 MHz（投标文件内须提供制造商对社会公开公布的说明书或产品彩页为佐证材料）</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 xml:space="preserve">7.速度测量：最大12 m/s，≥20档量程，分辨率优于0.001 </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m/s/Hz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▲8.位移测量：最大2 m，≥30档量程，分辨率优于0.31 pm</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▲9.扫描能力：≥512×512测量点，最高支持≥10000点；最小测试对象≤0.05×0.05 mm MEMS，最大≥0.5×0.5 m</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10.扫描角度：分辨率&lt;0.001°，稳定性&lt;0.001°/h，最大30点/秒</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机箱式压电控制器</w:t>
            </w:r>
          </w:p>
        </w:tc>
        <w:tc>
          <w:tcPr>
            <w:tcW w:w="7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1.输入模拟信号：单极性0~+10V</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2.输出电压纹波（mV）：≤10</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3.输出电压：0-150V</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4.电压稳定性：＜ 0.1%F.S.（满量程）/8小时</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5.模拟输入阻抗（KΩ）：100±20%</w:t>
            </w:r>
          </w:p>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6.空载满幅值带宽：10KHz</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NS-CS 多通道纳米电容传感器控制器</w:t>
            </w:r>
          </w:p>
        </w:tc>
        <w:tc>
          <w:tcPr>
            <w:tcW w:w="7116" w:type="dxa"/>
            <w:tcBorders>
              <w:top w:val="nil"/>
              <w:left w:val="nil"/>
              <w:bottom w:val="single" w:color="auto" w:sz="4" w:space="0"/>
              <w:right w:val="single" w:color="auto" w:sz="4" w:space="0"/>
            </w:tcBorders>
            <w:vAlign w:val="center"/>
          </w:tcPr>
          <w:p>
            <w:pPr>
              <w:widowControl/>
              <w:numPr>
                <w:ilvl w:val="255"/>
                <w:numId w:val="0"/>
              </w:numPr>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1.量程：400um</w:t>
            </w:r>
          </w:p>
          <w:p>
            <w:pPr>
              <w:widowControl/>
              <w:numPr>
                <w:ilvl w:val="255"/>
                <w:numId w:val="0"/>
              </w:numPr>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2.带宽：1KHz</w:t>
            </w:r>
          </w:p>
          <w:p>
            <w:pPr>
              <w:widowControl/>
              <w:numPr>
                <w:ilvl w:val="255"/>
                <w:numId w:val="0"/>
              </w:numPr>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3.分辨率RMS：2.5nm@1KHz</w:t>
            </w:r>
          </w:p>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4.电压输出范围：-10V-+10V</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实时仿真系统</w:t>
            </w:r>
          </w:p>
        </w:tc>
        <w:tc>
          <w:tcPr>
            <w:tcW w:w="7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一、实时仿真控制系统基本要求：</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1.处理器≥12核心20线程，内存≥16G，硬盘≥500G（SSD），网口≥2路千兆网口，串口≥2个</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2.外扩接口：至少支持7路PCIe（2*x16+1*x8+3*x4+1*x1）至少可以支持以下基于PCIe的拓展板卡种类：数据采集卡、EtherCAT总线卡、CAN卡、CAN-FD卡、串口卡、多功能卡；不少于1路HDMI接口</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二、数据采集卡参数要求：</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1.AD模拟量输入</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（1）AD通道数≥32路单端/16路差分，采样精度≥16bit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（2）最大采样速率≥500Ksps</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（3）采样范围，支持±10V、±5V、±2V、±1V</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（4）多通道采样速率：各通道最大采样速率/设置的采样通道总数</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2.DA模拟量输出</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（1）DA通道数≥4路，采样精度≥16bit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（2）最大采样速率≥100Ksps</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3.DIO数字量输入输出</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（1）通道数：≥16路</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（2）电气标准：TTL兼容</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（3）配置方式：程控I/O方向与状态</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三、CAN卡参数要求：</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1.CAN通道数≥4路</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2.同时支持CAN2.0A和CAN2.0B协议</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3.波特率：5Kbps～1Mbps可编程任意设置</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4.数据接收能力：14000帧/秒/通道</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5.数据发送能力：14000帧/秒/通道</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四、软件功能要求：</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▲1.为了方便教学和科研，采用MBD的开发方式，系统支持MATLAB/Simulink软件和软件工具箱；</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2.集成于MATLAB Simulink环境中的功能模块库系统，提供EtherCAT主站、EtherCAT从站、CAN/CANFD、ADDA、IO、UART、多编码器等IO板卡Simulink工具箱，提供飞控px4硬件支持包、人形机器人、四足机器人等机器人Simulink工具箱</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3.实时代码生成组件：集成于MATLAB/Simulink环境中，实现由MATLAB/Simulink模型自动生成x86_64架构处理器目标代码。提供代码生成相关工具链并集成到MATLAB/Simulink中，支持x86_64处理器</w:t>
            </w:r>
          </w:p>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4.控制器采用实时Linux操作系统，支持多任务多线程</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气浮隔振光学平台</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1.固有频率：竖直方向＜ 1.2~3Hz ；水平方向＜ 1.2~3Hz</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2.平面度：0.02~0.05mm/600mm×600mm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3.台面：上台板4~6mm厚不锈钢</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4.底板：下底板4~6mm厚，表面喷黑塑处理</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5.台面厚度：200mm</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6.负载能力（kg）：900</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工业高速摄影仪</w:t>
            </w:r>
          </w:p>
        </w:tc>
        <w:tc>
          <w:tcPr>
            <w:tcW w:w="7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★1.分辨率：≥1280*1024（满幅帧率≥15800fps）；1280×808≥20000fps；最高帧率≥1150000fps（投标文件内须提供制造商对社会公开公布的说明书或产品彩页为佐证材料）</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2.像元尺寸：≤14.6</w:t>
            </w:r>
            <w:r>
              <w:rPr>
                <w:rFonts w:ascii="Calibri" w:hAnsi="Calibri" w:cs="Calibri"/>
                <w:color w:val="000000" w:themeColor="text1"/>
                <w:kern w:val="0"/>
                <w:sz w:val="18"/>
                <w:szCs w:val="18"/>
                <w14:textFill>
                  <w14:solidFill>
                    <w14:schemeClr w14:val="tx1"/>
                  </w14:solidFill>
                </w14:textFill>
              </w:rPr>
              <w:t>μ</w:t>
            </w:r>
            <w:r>
              <w:rPr>
                <w:rFonts w:hint="eastAsia" w:ascii="宋体" w:hAnsi="宋体" w:cs="宋体"/>
                <w:color w:val="000000" w:themeColor="text1"/>
                <w:kern w:val="0"/>
                <w:sz w:val="18"/>
                <w:szCs w:val="18"/>
                <w14:textFill>
                  <w14:solidFill>
                    <w14:schemeClr w14:val="tx1"/>
                  </w14:solidFill>
                </w14:textFill>
              </w:rPr>
              <w:t>m，黑白芯片</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3.最短曝光时间：≤100ns，曝光时间可按10ns步进连续可调，PIV双曝光功能，双曝光间隔最小210ns</w:t>
            </w:r>
          </w:p>
          <w:p>
            <w:pPr>
              <w:jc w:val="left"/>
              <w:rPr>
                <w:rFonts w:hint="eastAsia" w:ascii="黑体" w:hAnsi="黑体" w:eastAsia="黑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4.存储模式：双存储模式（DDR内存容量≥40GB；硬盘容量≥4TB），支持内存模式/硬盘模式软件切换；数据传输接口：万兆网口、千兆网络，自适应网络配置；主机端M12 X型8芯接口；兼容2.5G网络传输，实际传输速度≥1.5Gbps</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★5.高动态模式：动态模拟偏执电压调整范围0-100倍；数字增益0-16倍可调；模拟增益×2/×4/×8倍可调（投标文件内须提供制造商对社会公开公布的说明书或产品彩页为佐证材料）</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6.镜头接口：Sony E口（可拆卸更换），兼容F口、EF口、C口等主流镜头，EF镜头控制，支持加装EF镜头控制转接环（E口转EF口/C口转EF口），支持远程软件控制</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7.辅助对焦功能：支持方差、Tenengrad梯度、Laplacian梯度对焦方法；支持区域、全局对焦模式；虚拟设备功能：支持添加虚拟设备，无连接状态下完成参数调整、预览、采集与下载</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8.静态测量功能：支持预览图像和内存模式下静态测量（无需下载），包含两点间距、多点间距、三点角度、四点角度、半径、直径、圆心距离、计数、2点测速等</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9.保存格式：支持RAWW、MRAW、SSF、AVI、JPEG、BMP、TIFF、PNG；支持H264、MJPEG、HumffYUV压缩；AVI导出播放速度可选</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激光共聚焦显微镜</w:t>
            </w:r>
          </w:p>
        </w:tc>
        <w:tc>
          <w:tcPr>
            <w:tcW w:w="7116" w:type="dxa"/>
            <w:tcBorders>
              <w:top w:val="nil"/>
              <w:left w:val="nil"/>
              <w:bottom w:val="single" w:color="auto" w:sz="4" w:space="0"/>
              <w:right w:val="single" w:color="auto" w:sz="4" w:space="0"/>
            </w:tcBorders>
            <w:vAlign w:val="center"/>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1.★基于尼普科夫阵列螺旋微孔转盘，影像系统：≥1024×1024（投标文件内须提供制造商对社会公开公布的说明书或产品彩页为佐证材料）</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2.物镜转塔：5孔电动切换</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w:t>
            </w:r>
            <w:bookmarkStart w:id="7" w:name="OLE_LINK22"/>
            <w:r>
              <w:rPr>
                <w:rFonts w:hint="eastAsia" w:ascii="宋体" w:hAnsi="宋体" w:cs="宋体"/>
                <w:color w:val="000000" w:themeColor="text1"/>
                <w:kern w:val="0"/>
                <w:sz w:val="18"/>
                <w:szCs w:val="18"/>
                <w14:textFill>
                  <w14:solidFill>
                    <w14:schemeClr w14:val="tx1"/>
                  </w14:solidFill>
                </w14:textFill>
              </w:rPr>
              <w:t>.★</w:t>
            </w:r>
            <w:bookmarkEnd w:id="7"/>
            <w:r>
              <w:rPr>
                <w:rFonts w:hint="eastAsia" w:ascii="宋体" w:hAnsi="宋体" w:cs="宋体"/>
                <w:color w:val="000000" w:themeColor="text1"/>
                <w:kern w:val="0"/>
                <w:sz w:val="18"/>
                <w:szCs w:val="18"/>
                <w14:textFill>
                  <w14:solidFill>
                    <w14:schemeClr w14:val="tx1"/>
                  </w14:solidFill>
                </w14:textFill>
              </w:rPr>
              <w:t>物镜：5X、10×、20X、50×（APO）、100X（APO）（投标文件内须提供制造商对社会公开公布的说明书或产品彩页为佐证材料）</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4.▲XY位移台：行程≥100×100mm，电动控制，配置360°手动旋转盘</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5.Z向扫描范围≥10mm</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6.▲台阶高度测量精度≤1%（5μm台阶高标准块）</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7.台阶高度测量重复性≤20nm（5μm台阶高标准块）</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8.宽度测量精度≤±2%</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9.宽度测量重复性≤40nm</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10.光源安全功能：要具备光源设置无人值守下的自动熄灯功能，当检测到鼠标轨迹长时间未变动后会自主降低熄灭光源，防止光源高亮过热损坏，并有效延长光源使用寿命</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镜头安全功能：设备配备压力传感器，并在镜头处进行了弹簧结构设计，确认当镜头碰撞后弹性回缩，进入急停状态大幅减小碰撞冲击力，有效保护镜头和扫描轴，消除人为操作的安全风险（投标文件内须提供制造商对社会公开公布的说明书或产品彩页为佐证材料）</w:t>
            </w:r>
          </w:p>
          <w:p>
            <w:pPr>
              <w:jc w:val="left"/>
              <w:rPr>
                <w:rFonts w:hint="eastAsia" w:ascii="黑体" w:hAnsi="黑体" w:eastAsia="黑体" w:cs="宋体"/>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12.★可实现根据给定坐标位置的多点自动化测量，并可实现mark点识别后的自动位置校正、多点自动对焦与测量（投标文件内须提供制造商对社会公开公布的说明书或产品彩页为佐证材料）</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镀膜机</w:t>
            </w:r>
          </w:p>
        </w:tc>
        <w:tc>
          <w:tcPr>
            <w:tcW w:w="7116" w:type="dxa"/>
            <w:tcBorders>
              <w:top w:val="nil"/>
              <w:left w:val="nil"/>
              <w:bottom w:val="single" w:color="auto" w:sz="4" w:space="0"/>
              <w:right w:val="single" w:color="auto" w:sz="4" w:space="0"/>
            </w:tcBorders>
          </w:tcPr>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★1.极限真空度：8X10-5Pa（投标文件内须提供制造商对社会公开公布的说明书或产品彩页为佐证材料）</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2.工作真空度：6.0X10-3Pa</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3.抽速：</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从大气抽至6.0X10-3Pa，≤20分钟(空炉、冷态)</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从大气抽至2.0X10-3Pa，≤60分钟(空炉、冷态)</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4.压升率：≤0.2Pa/小时</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★5.镀膜有效区：200(H)* φ600 mm（投标文件内须提供制造商对社会公开公布的说明书或产品彩页为佐证材料）</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6.炉内最高加热温度：500℃（工件温度）</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7.电气控制系统：PLC全自动控制，可运行多种工艺设置</w:t>
            </w:r>
          </w:p>
          <w:p>
            <w:pPr>
              <w:widowControl/>
              <w:jc w:val="left"/>
              <w:rPr>
                <w:rFonts w:hint="eastAsia" w:ascii="宋体" w:hAnsi="宋体" w:cs="宋体"/>
                <w:color w:val="000000" w:themeColor="text1"/>
                <w:kern w:val="0"/>
                <w:sz w:val="18"/>
                <w:szCs w:val="18"/>
                <w14:textFill>
                  <w14:solidFill>
                    <w14:schemeClr w14:val="tx1"/>
                  </w14:solidFill>
                </w14:textFill>
              </w:rPr>
            </w:pP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（二）配置要求：设备为模组化柔性设计，支持设备后期升级改造。可根据后期实验需要按需更换安装溅射模组，离子源模组等。</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1.真空炉体、炉门：</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1)炉体结构为立式八角型，框架式结构，七个工作面可根据需要调整功能模块使用，灵活方便</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2)SUS304不锈钢焊接组成</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3)炉体各个法兰面均有独立冷却水道，真空侧焊缝与冷却水隔离设计</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4)有效尺寸：200(H)*φ600 mm，真空室侧壁厚25mm，真空炉体上下盖板厚30mm，立式单开门结构，炉体后方布置加热器，左右侧壁各布置1支f160弧源孔位，与炉体门框相邻的左右侧壁加热器，炉体顶部布置抽气接口</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5）炉门为前开门结构，门框厚32毫米（加工后），门板内壁厚25毫米，与门框相邻的两个侧壁各布置1支φ160 mm弧源孔位，炉门中间法兰安装侧向离子刻蚀装置</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6)炉体顶部布置为抽气口，炉体下盖中心为转架接口</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7)真空室内、外表面采用电解抛光技术，可长久保持外观效果，易于清洁</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8)挂装式双层衬板SUS304不锈钢</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内层（喷砂层）厚度为3mm，2套</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外层（反射层）厚度为3mm，1套</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9)反应气体接入系统：大于等于三路，6mm不锈钢管路，外卡套安装，方便调整及拆装</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10）炉体支架、气管、水管、电线、电缆桥架一体完成，表面喷塑防腐处理</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▲11）预留磁过滤安装接口和位置</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▲12）四个靶位必须均布于360°炉腔内，即靶间距90°</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2.电弧蒸发源：</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4个电弧蒸发源，炉体2支，炉门2支；要求：设备配置的ARC160弧源，水冷采用金属膜片冷却，弧靶磁场采用永磁复合电磁驱动，靶面烧蚀均匀，靶材利用率最高可达50%</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3.加热及温度测量：</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在炉壁侧壁安装，采用不锈钢铠装蛇形加热器(3套)，总功率约15KW；密封法兰带水冷结构，接线端子带绝缘保护罩；温度测控采用温控表，分上下两层加热，可单独、阶段性控温，PID控制；温度控制范围：100-500℃</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4.工件公自转系统：</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采用公自转结构，带三维旋转接口，可实现三维或四维旋转，挂具支杆两套；一维公转：大的公转台绕炉腔中心连续360°旋转，不能出现卡顿和倒转。转速0～30转／分连续可调，通过触摸屏操作；二维自转：在公转台上设置至少四根自转杆，围绕自身的轴心旋转，自转转速可通过公转联动或者独立调节；三维自转：在每根自转杆上，设置一个圆形转盘，转盘外边缘360°均布可自转小杆，自转小杆转速可通过公转联动或者独立调节。自转小杆最下端做孔，可穿铁丝以便悬挂样品；小杆最上端做盲孔，可以安插圆柱形样品。</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2）带转盘旋转实时监控功能，异常情况报警</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5.侧向离子刻蚀装置：刻蚀装置安装在炉门法兰处，配阴、阳极、屏蔽罩板及刻蚀电源，共一套</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6.真空系统：</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1）分子泵1台，抽速不低于2000 L/s（氮气）, 口径250毫米 ，转速调速范围：20%-100%范围内任意调速</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2）双级直联旋片泵1台，抽速不低于90M3/h，内置油逆止阀，实现泵无返油现象</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3）插板阀：DN250气动插板阀</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4）预抽阀及前级阀，采用气动密封形式，同时应选用名牌铝合金气缸，放气阀设置空气过滤功能，加消声器</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5）真空管道上加装粉尘过滤器</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6）真空管道：采用SUS304不锈钢管道及波纹管</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7.电气控制系统：</w:t>
            </w:r>
          </w:p>
          <w:p>
            <w:pPr>
              <w:widowControl/>
              <w:ind w:firstLine="360" w:firstLineChars="2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以PLC自动化控制系统，所有的控制部分主要由PLC来完成，实现对真空抽气设备和辅助系统设备的控制以及真空度、压力传感器等信号采集控制系统，可以实现全自动运行。镀膜工艺曲线包含以下参数:烘烤温度，镀膜真空度，工艺气体类型，工艺气体流量，靶位选择，镀膜时间，离子源轰击时间，工件架变速控制及公自转速率等。</w:t>
            </w:r>
          </w:p>
          <w:p>
            <w:pPr>
              <w:widowControl/>
              <w:ind w:firstLine="360" w:firstLineChars="2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可手机远程监控及操作。主控单元可设置参数及工作点，并根据预设置工艺流程，实现对整机全自动、半自动、及手动控制；可设置并存储多种工艺，用户可根据不同产品需求选择调用，带管理员密码，可防止其他人员误操作。带实时曲线、历史曲线查询功能；与此同时，控制系统可监控各泵、阀门工作状态，故障发生时报警并作出相应处理；监控进水管路及各靶回水管路温度，过温报警，及时处理并发出警示；监控冷却水压力变化，在压力不足或过压情况下报警，以便系统故障处理；监控偏压电源、溅射电源、弧电源等的电压、电流；除此之外，控制系统可采集真空内真空度，监控气体流量，专业性的电磁兼容性设计，抗干扰，无死机现象。</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8.气体质量流量计：</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采用RS485通讯方式，其中：300SCCM/2台；500SCCM/2台；标定气体：N2；响应时间：300MS(气特性)</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9.真空计：</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ZDF5227复合真空计</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ZJ52T热偶金属规格(3支)</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ZJ27玻璃电离规管(1支)</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10.弧电源：输出电流0-220A，功率10KW，采用外控，RS485通讯方式控制，冷却方式为风冷，共4套，选用国内知名品牌</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11.偏压电源：</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输出功率：10KW</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输出模式：恒流、恒压、恒功率</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控制模式：模拟量、通讯方式</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冷却方式：水冷</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频率：2-200KHz可调</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12.水冷系统：</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1）提供15匹冷水机+1M3不锈钢保温水箱变频水泵</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2）所有主管道及配件材质均为SUS304不锈钢材料，并配有水流量传感器和水温传感器，水冷系统适宜水温应为20～25℃，水压为0.2～0.3MPa，镀膜机总体冷却水用量应不少于10T/h</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3）上盖、底板、舱体侧壁均采用高效水冷，特别是靠近靶位的地方。不算前期准备时间，在四靶全开，正式开始镀膜持续2小时后，炉体外壁温度不得高于55℃</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13.气动控制系统：</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主要由气动控制阀岛、先导式2位4通换向阀、压力传感器、气动三联件、6、8毫米PU管等组成，选用知名品牌</w:t>
            </w:r>
          </w:p>
          <w:p>
            <w:pPr>
              <w:widowControl/>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14.提供多种镀膜工艺：</w:t>
            </w:r>
          </w:p>
          <w:p>
            <w:pPr>
              <w:widowControl/>
              <w:ind w:firstLine="180" w:firstLineChars="100"/>
              <w:jc w:val="left"/>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设备附带硬质涂层主流涂层制程：TiN、TiCN、CrN、AlCrN、TiSiN、TiAlN等；其它涂层，可免费按需提供，或者开发</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磁控溅射镀膜系统</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s="宋体"/>
                <w:color w:val="000000" w:themeColor="text1"/>
                <w:spacing w:val="-4"/>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1.真空腔：材质为SUS304，内部镜面+电解抛光，半导体级清洗</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▲2.系统极限真空度：≤5.0×10-5Pa</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3.系统抽速：从大气开始抽气：溅射室30分钟可达到5×10-4Pa</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▲4.超高真空磁控靶：3英寸靶数量3套</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需提供制造商公布的说明书扫描件或产品彩页扫描件或技术白皮书扫描件作为佐证材料</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5.直流溅射电源：500W，数量1台</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6.射频溅射电源：不小于750W，数量1台</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7.加热样品台：≥4英寸样品，炉丝加热温度500℃</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8.真空测量系统：全量程真空计1套</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9.系统抽气系统：1300L/S分子泵1台，8L/S干泵1台</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★10.成膜均匀性≤±5%（投标文件内须提供制造商对社会公开公布的说明书或产品彩页为佐证材料）</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11.具备自动工艺设置功能，要求具备报警信息、参数设置、工艺设置、镀膜控制、真空控制等功能模块</w:t>
            </w:r>
            <w:r>
              <w:rPr>
                <w:rFonts w:hint="eastAsia" w:ascii="宋体" w:hAnsi="宋体" w:cs="宋体"/>
                <w:color w:val="000000" w:themeColor="text1"/>
                <w:kern w:val="0"/>
                <w:sz w:val="18"/>
                <w:szCs w:val="18"/>
                <w14:textFill>
                  <w14:solidFill>
                    <w14:schemeClr w14:val="tx1"/>
                  </w14:solidFill>
                </w14:textFill>
              </w:rPr>
              <w:br w:type="textWrapping"/>
            </w:r>
            <w:r>
              <w:rPr>
                <w:rFonts w:hint="eastAsia" w:ascii="宋体" w:hAnsi="宋体" w:cs="宋体"/>
                <w:color w:val="000000" w:themeColor="text1"/>
                <w:kern w:val="0"/>
                <w:sz w:val="18"/>
                <w:szCs w:val="18"/>
                <w14:textFill>
                  <w14:solidFill>
                    <w14:schemeClr w14:val="tx1"/>
                  </w14:solidFill>
                </w14:textFill>
              </w:rPr>
              <w:t>12.设备控制系统、自动镀膜、自动真空、半自动镀膜、报警故障解除、工艺设置等功能</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131" w:hRule="atLeast"/>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895" w:type="dxa"/>
            <w:tcBorders>
              <w:top w:val="single" w:color="000000" w:sz="4" w:space="0"/>
              <w:left w:val="nil"/>
              <w:bottom w:val="single" w:color="000000" w:sz="4" w:space="0"/>
              <w:right w:val="single" w:color="auto"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工作站</w:t>
            </w:r>
          </w:p>
        </w:tc>
        <w:tc>
          <w:tcPr>
            <w:tcW w:w="7116" w:type="dxa"/>
            <w:tcBorders>
              <w:top w:val="nil"/>
              <w:left w:val="nil"/>
              <w:bottom w:val="single" w:color="auto" w:sz="4" w:space="0"/>
              <w:right w:val="single" w:color="auto" w:sz="4" w:space="0"/>
            </w:tcBorders>
            <w:vAlign w:val="center"/>
          </w:tcPr>
          <w:p>
            <w:pPr>
              <w:jc w:val="left"/>
              <w:rPr>
                <w:rFonts w:hint="eastAsia" w:ascii="黑体" w:hAnsi="黑体" w:eastAsia="黑体"/>
                <w:color w:val="000000" w:themeColor="text1"/>
                <w:sz w:val="20"/>
                <w:szCs w:val="20"/>
                <w14:textFill>
                  <w14:solidFill>
                    <w14:schemeClr w14:val="tx1"/>
                  </w14:solidFill>
                </w14:textFill>
              </w:rPr>
            </w:pPr>
          </w:p>
          <w:tbl>
            <w:tblPr>
              <w:tblStyle w:val="3"/>
              <w:tblW w:w="5624" w:type="dxa"/>
              <w:jc w:val="center"/>
              <w:tblLayout w:type="fixed"/>
              <w:tblCellMar>
                <w:top w:w="0" w:type="dxa"/>
                <w:left w:w="108" w:type="dxa"/>
                <w:bottom w:w="0" w:type="dxa"/>
                <w:right w:w="108" w:type="dxa"/>
              </w:tblCellMar>
            </w:tblPr>
            <w:tblGrid>
              <w:gridCol w:w="608"/>
              <w:gridCol w:w="1025"/>
              <w:gridCol w:w="1000"/>
              <w:gridCol w:w="1397"/>
              <w:gridCol w:w="1594"/>
            </w:tblGrid>
            <w:tr>
              <w:tblPrEx>
                <w:tblCellMar>
                  <w:top w:w="0" w:type="dxa"/>
                  <w:left w:w="108" w:type="dxa"/>
                  <w:bottom w:w="0" w:type="dxa"/>
                  <w:right w:w="108" w:type="dxa"/>
                </w:tblCellMar>
              </w:tblPrEx>
              <w:trPr>
                <w:trHeight w:val="285" w:hRule="atLeast"/>
                <w:jc w:val="center"/>
              </w:trPr>
              <w:tc>
                <w:tcPr>
                  <w:tcW w:w="608" w:type="dxa"/>
                  <w:tcBorders>
                    <w:top w:val="single" w:color="000000" w:sz="8" w:space="0"/>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序号</w:t>
                  </w:r>
                </w:p>
              </w:tc>
              <w:tc>
                <w:tcPr>
                  <w:tcW w:w="1025"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指标分类</w:t>
                  </w:r>
                </w:p>
              </w:tc>
              <w:tc>
                <w:tcPr>
                  <w:tcW w:w="1000"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一级指标</w:t>
                  </w:r>
                </w:p>
              </w:tc>
              <w:tc>
                <w:tcPr>
                  <w:tcW w:w="1397"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二级指标</w:t>
                  </w:r>
                </w:p>
              </w:tc>
              <w:tc>
                <w:tcPr>
                  <w:tcW w:w="1594" w:type="dxa"/>
                  <w:tcBorders>
                    <w:top w:val="single" w:color="000000" w:sz="8" w:space="0"/>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b/>
                      <w:bCs/>
                      <w:color w:val="000000" w:themeColor="text1"/>
                      <w:sz w:val="18"/>
                      <w:szCs w:val="18"/>
                      <w14:textFill>
                        <w14:solidFill>
                          <w14:schemeClr w14:val="tx1"/>
                        </w14:solidFill>
                      </w14:textFill>
                    </w:rPr>
                  </w:pPr>
                  <w:r>
                    <w:rPr>
                      <w:rFonts w:hint="eastAsia" w:ascii="黑体" w:hAnsi="黑体" w:eastAsia="黑体" w:cs="仿宋"/>
                      <w:b/>
                      <w:bCs/>
                      <w:color w:val="000000" w:themeColor="text1"/>
                      <w:kern w:val="0"/>
                      <w:sz w:val="18"/>
                      <w:szCs w:val="18"/>
                      <w:lang w:bidi="ar"/>
                      <w14:textFill>
                        <w14:solidFill>
                          <w14:schemeClr w14:val="tx1"/>
                        </w14:solidFill>
                      </w14:textFill>
                    </w:rPr>
                    <w:t>指标要求</w:t>
                  </w:r>
                </w:p>
              </w:tc>
            </w:tr>
            <w:tr>
              <w:tblPrEx>
                <w:tblCellMar>
                  <w:top w:w="0" w:type="dxa"/>
                  <w:left w:w="108" w:type="dxa"/>
                  <w:bottom w:w="0" w:type="dxa"/>
                  <w:right w:w="108" w:type="dxa"/>
                </w:tblCellMar>
              </w:tblPrEx>
              <w:trPr>
                <w:trHeight w:val="906"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CPU规格</w:t>
                  </w: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CPU信息</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物理核心数：≥8核；</w:t>
                  </w:r>
                </w:p>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线程：≥16线程 主频：2.8GHz最大睿频5.2GHz；</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内存规格</w:t>
                  </w: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内存配置容量</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2*16G</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3</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内存类型</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DDR5</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4</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存储设备规格</w:t>
                  </w: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固态盘数量</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2个</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5</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固态盘类型</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SSD</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6</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固态存储尺寸</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2.5寸</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7</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单个固态盘数量</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ascii="黑体" w:hAnsi="黑体" w:eastAsia="黑体" w:cs="仿宋"/>
                      <w:color w:val="000000" w:themeColor="text1"/>
                      <w:kern w:val="0"/>
                      <w:sz w:val="18"/>
                      <w:szCs w:val="18"/>
                      <w:lang w:bidi="ar"/>
                      <w14:textFill>
                        <w14:solidFill>
                          <w14:schemeClr w14:val="tx1"/>
                        </w14:solidFill>
                      </w14:textFill>
                    </w:rPr>
                    <w:t>1.92T</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8</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机械硬盘数量</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标机4个最大支持8个</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9</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网卡</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双口千兆</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10</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机箱样式</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4U塔式</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11</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电源</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30</w:t>
                  </w:r>
                  <w:r>
                    <w:rPr>
                      <w:rFonts w:ascii="黑体" w:hAnsi="黑体" w:eastAsia="黑体" w:cs="仿宋"/>
                      <w:color w:val="000000" w:themeColor="text1"/>
                      <w:kern w:val="0"/>
                      <w:sz w:val="18"/>
                      <w:szCs w:val="18"/>
                      <w:lang w:bidi="ar"/>
                      <w14:textFill>
                        <w14:solidFill>
                          <w14:schemeClr w14:val="tx1"/>
                        </w14:solidFill>
                      </w14:textFill>
                    </w:rPr>
                    <w:t>0W</w:t>
                  </w:r>
                </w:p>
              </w:tc>
            </w:tr>
            <w:tr>
              <w:tblPrEx>
                <w:tblCellMar>
                  <w:top w:w="0" w:type="dxa"/>
                  <w:left w:w="108" w:type="dxa"/>
                  <w:bottom w:w="0" w:type="dxa"/>
                  <w:right w:w="108" w:type="dxa"/>
                </w:tblCellMar>
              </w:tblPrEx>
              <w:trPr>
                <w:trHeight w:val="285" w:hRule="atLeast"/>
                <w:jc w:val="center"/>
              </w:trPr>
              <w:tc>
                <w:tcPr>
                  <w:tcW w:w="608" w:type="dxa"/>
                  <w:tcBorders>
                    <w:top w:val="nil"/>
                    <w:left w:val="single" w:color="000000" w:sz="8" w:space="0"/>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kern w:val="0"/>
                      <w:sz w:val="18"/>
                      <w:szCs w:val="18"/>
                      <w:lang w:bidi="ar"/>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12</w:t>
                  </w:r>
                </w:p>
              </w:tc>
              <w:tc>
                <w:tcPr>
                  <w:tcW w:w="1025" w:type="dxa"/>
                  <w:tcBorders>
                    <w:top w:val="nil"/>
                    <w:left w:val="nil"/>
                    <w:bottom w:val="single" w:color="000000" w:sz="8" w:space="0"/>
                    <w:right w:val="single" w:color="000000" w:sz="8" w:space="0"/>
                  </w:tcBorders>
                  <w:vAlign w:val="center"/>
                </w:tcPr>
                <w:p>
                  <w:pPr>
                    <w:widowControl/>
                    <w:adjustRightInd w:val="0"/>
                    <w:snapToGrid w:val="0"/>
                    <w:spacing w:after="0"/>
                    <w:jc w:val="left"/>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产品规格</w:t>
                  </w:r>
                </w:p>
              </w:tc>
              <w:tc>
                <w:tcPr>
                  <w:tcW w:w="1000" w:type="dxa"/>
                  <w:tcBorders>
                    <w:top w:val="nil"/>
                    <w:left w:val="nil"/>
                    <w:bottom w:val="single" w:color="000000" w:sz="8" w:space="0"/>
                    <w:right w:val="single" w:color="000000" w:sz="8" w:space="0"/>
                  </w:tcBorders>
                  <w:vAlign w:val="center"/>
                </w:tcPr>
                <w:p>
                  <w:pPr>
                    <w:widowControl/>
                    <w:adjustRightInd w:val="0"/>
                    <w:snapToGrid w:val="0"/>
                    <w:spacing w:after="0"/>
                    <w:jc w:val="left"/>
                    <w:rPr>
                      <w:rFonts w:hint="eastAsia" w:ascii="黑体" w:hAnsi="黑体" w:eastAsia="黑体" w:cs="仿宋"/>
                      <w:color w:val="000000" w:themeColor="text1"/>
                      <w:sz w:val="18"/>
                      <w:szCs w:val="18"/>
                      <w14:textFill>
                        <w14:solidFill>
                          <w14:schemeClr w14:val="tx1"/>
                        </w14:solidFill>
                      </w14:textFill>
                    </w:rPr>
                  </w:pPr>
                </w:p>
              </w:tc>
              <w:tc>
                <w:tcPr>
                  <w:tcW w:w="1397"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sz w:val="18"/>
                      <w:szCs w:val="18"/>
                      <w14:textFill>
                        <w14:solidFill>
                          <w14:schemeClr w14:val="tx1"/>
                        </w14:solidFill>
                      </w14:textFill>
                    </w:rPr>
                    <w:t>★</w:t>
                  </w:r>
                  <w:r>
                    <w:rPr>
                      <w:rFonts w:hint="eastAsia" w:ascii="黑体" w:hAnsi="黑体" w:eastAsia="黑体" w:cs="仿宋"/>
                      <w:color w:val="000000" w:themeColor="text1"/>
                      <w:kern w:val="0"/>
                      <w:sz w:val="18"/>
                      <w:szCs w:val="18"/>
                      <w:lang w:bidi="ar"/>
                      <w14:textFill>
                        <w14:solidFill>
                          <w14:schemeClr w14:val="tx1"/>
                        </w14:solidFill>
                      </w14:textFill>
                    </w:rPr>
                    <w:t>操作系统</w:t>
                  </w:r>
                </w:p>
              </w:tc>
              <w:tc>
                <w:tcPr>
                  <w:tcW w:w="1594" w:type="dxa"/>
                  <w:tcBorders>
                    <w:top w:val="nil"/>
                    <w:left w:val="nil"/>
                    <w:bottom w:val="single" w:color="000000" w:sz="8" w:space="0"/>
                    <w:right w:val="single" w:color="000000" w:sz="8" w:space="0"/>
                  </w:tcBorders>
                  <w:vAlign w:val="center"/>
                </w:tcPr>
                <w:p>
                  <w:pPr>
                    <w:widowControl/>
                    <w:adjustRightInd w:val="0"/>
                    <w:snapToGrid w:val="0"/>
                    <w:spacing w:after="0"/>
                    <w:jc w:val="center"/>
                    <w:textAlignment w:val="center"/>
                    <w:rPr>
                      <w:rFonts w:hint="eastAsia" w:ascii="黑体" w:hAnsi="黑体" w:eastAsia="黑体" w:cs="仿宋"/>
                      <w:color w:val="000000" w:themeColor="text1"/>
                      <w:sz w:val="18"/>
                      <w:szCs w:val="18"/>
                      <w14:textFill>
                        <w14:solidFill>
                          <w14:schemeClr w14:val="tx1"/>
                        </w14:solidFill>
                      </w14:textFill>
                    </w:rPr>
                  </w:pPr>
                  <w:r>
                    <w:rPr>
                      <w:rFonts w:hint="eastAsia" w:ascii="黑体" w:hAnsi="黑体" w:eastAsia="黑体" w:cs="仿宋"/>
                      <w:color w:val="000000" w:themeColor="text1"/>
                      <w:kern w:val="0"/>
                      <w:sz w:val="18"/>
                      <w:szCs w:val="18"/>
                      <w:lang w:bidi="ar"/>
                      <w14:textFill>
                        <w14:solidFill>
                          <w14:schemeClr w14:val="tx1"/>
                        </w14:solidFill>
                      </w14:textFill>
                    </w:rPr>
                    <w:t>Ubuntu</w:t>
                  </w:r>
                </w:p>
              </w:tc>
            </w:tr>
            <w:tr>
              <w:tblPrEx>
                <w:tblCellMar>
                  <w:top w:w="0" w:type="dxa"/>
                  <w:left w:w="108" w:type="dxa"/>
                  <w:bottom w:w="0" w:type="dxa"/>
                  <w:right w:w="108" w:type="dxa"/>
                </w:tblCellMar>
              </w:tblPrEx>
              <w:trPr>
                <w:trHeight w:val="330" w:hRule="atLeast"/>
                <w:jc w:val="center"/>
              </w:trPr>
              <w:tc>
                <w:tcPr>
                  <w:tcW w:w="5624" w:type="dxa"/>
                  <w:gridSpan w:val="5"/>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after="0"/>
                    <w:jc w:val="center"/>
                    <w:textAlignment w:val="center"/>
                    <w:rPr>
                      <w:rStyle w:val="7"/>
                      <w:rFonts w:hint="default" w:ascii="黑体" w:hAnsi="黑体" w:eastAsia="黑体" w:cs="仿宋"/>
                      <w:color w:val="000000" w:themeColor="text1"/>
                      <w:sz w:val="18"/>
                      <w:szCs w:val="18"/>
                      <w:lang w:bidi="ar"/>
                      <w14:textFill>
                        <w14:solidFill>
                          <w14:schemeClr w14:val="tx1"/>
                        </w14:solidFill>
                      </w14:textFill>
                    </w:rPr>
                  </w:pPr>
                  <w:r>
                    <w:rPr>
                      <w:rStyle w:val="7"/>
                      <w:rFonts w:hint="default" w:ascii="黑体" w:hAnsi="黑体" w:eastAsia="黑体" w:cs="仿宋"/>
                      <w:color w:val="000000" w:themeColor="text1"/>
                      <w:sz w:val="18"/>
                      <w:szCs w:val="18"/>
                      <w:lang w:bidi="ar"/>
                      <w14:textFill>
                        <w14:solidFill>
                          <w14:schemeClr w14:val="tx1"/>
                        </w14:solidFill>
                      </w14:textFill>
                    </w:rPr>
                    <w:t>★所投产品需满足或优于财政部、工业和信息化部印发的《一体式计算机政府采购需求标准（2023年版）》中加“*”的指标要求，投标文件内提供承诺函，格式自拟。</w:t>
                  </w:r>
                </w:p>
              </w:tc>
            </w:tr>
          </w:tbl>
          <w:p>
            <w:pPr>
              <w:jc w:val="left"/>
              <w:rPr>
                <w:rFonts w:hint="eastAsia" w:ascii="黑体" w:hAnsi="黑体" w:eastAsia="黑体"/>
                <w:color w:val="000000" w:themeColor="text1"/>
                <w:sz w:val="20"/>
                <w:szCs w:val="20"/>
                <w14:textFill>
                  <w14:solidFill>
                    <w14:schemeClr w14:val="tx1"/>
                  </w14:solidFill>
                </w14:textFill>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511" w:type="dxa"/>
            <w:tcBorders>
              <w:top w:val="single" w:color="000000" w:sz="4" w:space="0"/>
              <w:left w:val="single" w:color="000000" w:sz="4" w:space="0"/>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18</w:t>
            </w:r>
          </w:p>
        </w:tc>
        <w:tc>
          <w:tcPr>
            <w:tcW w:w="895" w:type="dxa"/>
            <w:tcBorders>
              <w:top w:val="single" w:color="000000" w:sz="4" w:space="0"/>
              <w:left w:val="nil"/>
              <w:bottom w:val="single" w:color="000000" w:sz="4" w:space="0"/>
              <w:right w:val="single" w:color="000000" w:sz="4" w:space="0"/>
            </w:tcBorders>
            <w:vAlign w:val="center"/>
          </w:tcPr>
          <w:p>
            <w:pPr>
              <w:spacing w:line="560" w:lineRule="exact"/>
              <w:jc w:val="center"/>
              <w:rPr>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实验台</w:t>
            </w:r>
          </w:p>
        </w:tc>
        <w:tc>
          <w:tcPr>
            <w:tcW w:w="7116" w:type="dxa"/>
            <w:tcBorders>
              <w:top w:val="single" w:color="auto" w:sz="4" w:space="0"/>
              <w:left w:val="nil"/>
              <w:bottom w:val="single" w:color="000000" w:sz="4" w:space="0"/>
              <w:right w:val="single" w:color="000000" w:sz="4" w:space="0"/>
            </w:tcBorders>
            <w:vAlign w:val="center"/>
          </w:tcPr>
          <w:p>
            <w:pPr>
              <w:jc w:val="left"/>
              <w:rPr>
                <w:rFonts w:hint="eastAsia" w:ascii="黑体" w:hAnsi="黑体" w:eastAsia="黑体"/>
                <w:color w:val="000000" w:themeColor="text1"/>
                <w:szCs w:val="21"/>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1.实验台台面为大理石，长宽高尺寸约：2.5m*1m*0.85m</w:t>
            </w:r>
          </w:p>
        </w:tc>
      </w:tr>
    </w:tbl>
    <w:p>
      <w:pPr>
        <w:pStyle w:val="6"/>
        <w:rPr>
          <w:rFonts w:hint="default"/>
          <w:color w:val="000000" w:themeColor="text1"/>
          <w14:textFill>
            <w14:solidFill>
              <w14:schemeClr w14:val="tx1"/>
            </w14:solidFill>
          </w14:textFill>
        </w:rPr>
      </w:pPr>
    </w:p>
    <w:p>
      <w:pPr>
        <w:spacing w:before="156" w:beforeLines="50" w:line="560" w:lineRule="exact"/>
        <w:jc w:val="center"/>
        <w:rPr>
          <w:rFonts w:hint="eastAsia" w:ascii="宋体" w:hAnsi="宋体" w:cs="宋体"/>
          <w:b/>
          <w:bCs/>
          <w:color w:val="000000" w:themeColor="text1"/>
          <w:sz w:val="32"/>
          <w:szCs w:val="32"/>
          <w14:textFill>
            <w14:solidFill>
              <w14:schemeClr w14:val="tx1"/>
            </w14:solidFill>
          </w14:textFill>
        </w:rPr>
      </w:pPr>
      <w:bookmarkStart w:id="8" w:name="OLE_LINK5"/>
      <w:r>
        <w:rPr>
          <w:rFonts w:hint="eastAsia" w:ascii="宋体" w:hAnsi="宋体" w:cs="宋体"/>
          <w:b/>
          <w:bCs/>
          <w:color w:val="000000" w:themeColor="text1"/>
          <w:sz w:val="32"/>
          <w:szCs w:val="32"/>
          <w14:textFill>
            <w14:solidFill>
              <w14:schemeClr w14:val="tx1"/>
            </w14:solidFill>
          </w14:textFill>
        </w:rPr>
        <w:t>商务要求</w:t>
      </w:r>
      <w:bookmarkEnd w:id="8"/>
    </w:p>
    <w:p>
      <w:pPr>
        <w:spacing w:line="56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1、</w:t>
      </w:r>
      <w:bookmarkStart w:id="9" w:name="OLE_LINK6"/>
      <w:r>
        <w:rPr>
          <w:rFonts w:hint="eastAsia" w:ascii="宋体" w:hAnsi="宋体" w:cs="宋体"/>
          <w:color w:val="000000" w:themeColor="text1"/>
          <w:sz w:val="30"/>
          <w:szCs w:val="30"/>
          <w14:textFill>
            <w14:solidFill>
              <w14:schemeClr w14:val="tx1"/>
            </w14:solidFill>
          </w14:textFill>
        </w:rPr>
        <w:t>供货要求</w:t>
      </w:r>
      <w:bookmarkEnd w:id="9"/>
      <w:r>
        <w:rPr>
          <w:rFonts w:hint="eastAsia" w:ascii="宋体" w:hAnsi="宋体" w:cs="宋体"/>
          <w:color w:val="000000" w:themeColor="text1"/>
          <w:sz w:val="30"/>
          <w:szCs w:val="30"/>
          <w14:textFill>
            <w14:solidFill>
              <w14:schemeClr w14:val="tx1"/>
            </w14:solidFill>
          </w14:textFill>
        </w:rPr>
        <w:t>（全新、无划痕，包装要求，随机工具，手册等）</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1.1</w:t>
      </w:r>
      <w:r>
        <w:rPr>
          <w:rFonts w:hint="eastAsia" w:ascii="宋体" w:hAnsi="宋体" w:cs="宋体"/>
          <w:color w:val="000000" w:themeColor="text1"/>
          <w:sz w:val="28"/>
          <w:szCs w:val="28"/>
          <w:lang w:val="zh-CN"/>
          <w14:textFill>
            <w14:solidFill>
              <w14:schemeClr w14:val="tx1"/>
            </w14:solidFill>
          </w14:textFill>
        </w:rPr>
        <w:t>中标人提供完好、全新的原包装产品（包括零配件），随机技术资料齐全。产品符合国家质量检测标准，必须具有生产日期、厂名、厂址、产品合格证等。进口货物必要时应提供相应的报关单据（原件备查）。</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1.2</w:t>
      </w:r>
      <w:r>
        <w:rPr>
          <w:rFonts w:hint="eastAsia" w:ascii="宋体" w:hAnsi="宋体" w:cs="宋体"/>
          <w:color w:val="000000" w:themeColor="text1"/>
          <w:sz w:val="28"/>
          <w:szCs w:val="28"/>
          <w:lang w:val="zh-CN"/>
          <w14:textFill>
            <w14:solidFill>
              <w14:schemeClr w14:val="tx1"/>
            </w14:solidFill>
          </w14:textFill>
        </w:rPr>
        <w:t>中标人应当保证其交付给采购人的货物或服务不侵犯任何第三人的合法权益。如发生第三人指控采购人实施的技术侵权的，中标人应当承担全部责任。采购人在使用该货物或服务的任何一部分时，免受第三方提出的侵犯其专利权、商标权或工业设计权等知识产权的起诉或司法干预。如果发生上述起诉或干预，则其法律责任均由中标人负责。</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1.3</w:t>
      </w:r>
      <w:r>
        <w:rPr>
          <w:rFonts w:hint="eastAsia" w:ascii="宋体" w:hAnsi="宋体" w:cs="宋体"/>
          <w:color w:val="000000" w:themeColor="text1"/>
          <w:sz w:val="28"/>
          <w:szCs w:val="28"/>
          <w:lang w:val="zh-CN"/>
          <w14:textFill>
            <w14:solidFill>
              <w14:schemeClr w14:val="tx1"/>
            </w14:solidFill>
          </w14:textFill>
        </w:rPr>
        <w:t>中标人保证所提供的货物或服务为中标人通过合法来源依法取得，如应采购人要求，中标人有义务向采购人提供相关证明材料。</w:t>
      </w:r>
    </w:p>
    <w:p>
      <w:pPr>
        <w:rPr>
          <w:rFonts w:hint="eastAsia" w:ascii="宋体" w:hAnsi="宋体" w:cs="宋体"/>
          <w:color w:val="000000" w:themeColor="text1"/>
          <w:sz w:val="28"/>
          <w:szCs w:val="28"/>
          <w14:textFill>
            <w14:solidFill>
              <w14:schemeClr w14:val="tx1"/>
            </w14:solidFill>
          </w14:textFill>
        </w:rPr>
      </w:pPr>
    </w:p>
    <w:p>
      <w:pPr>
        <w:spacing w:line="56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2、交货时间、地点、方式</w:t>
      </w:r>
    </w:p>
    <w:p>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交货期：</w:t>
      </w:r>
      <w:bookmarkStart w:id="10" w:name="OLE_LINK4"/>
      <w:bookmarkStart w:id="11" w:name="OLE_LINK21"/>
      <w:r>
        <w:rPr>
          <w:rFonts w:hint="eastAsia" w:ascii="宋体" w:hAnsi="宋体" w:cs="宋体"/>
          <w:color w:val="000000" w:themeColor="text1"/>
          <w:sz w:val="28"/>
          <w:szCs w:val="28"/>
          <w14:textFill>
            <w14:solidFill>
              <w14:schemeClr w14:val="tx1"/>
            </w14:solidFill>
          </w14:textFill>
        </w:rPr>
        <w:t>本项目须在合同签订后180个日历日内完成供货、安装、调试</w:t>
      </w:r>
      <w:bookmarkEnd w:id="10"/>
      <w:r>
        <w:rPr>
          <w:rFonts w:hint="eastAsia" w:ascii="宋体" w:hAnsi="宋体" w:cs="宋体"/>
          <w:color w:val="000000" w:themeColor="text1"/>
          <w:sz w:val="28"/>
          <w:szCs w:val="28"/>
          <w14:textFill>
            <w14:solidFill>
              <w14:schemeClr w14:val="tx1"/>
            </w14:solidFill>
          </w14:textFill>
        </w:rPr>
        <w:t>；</w:t>
      </w:r>
      <w:bookmarkEnd w:id="11"/>
    </w:p>
    <w:p>
      <w:pPr>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交货地点：广州市番禺区市良路1342号广州职业技术大学9124实训室。</w:t>
      </w:r>
    </w:p>
    <w:p>
      <w:pPr>
        <w:rPr>
          <w:rFonts w:hint="eastAsia" w:ascii="宋体" w:hAnsi="宋体" w:cs="宋体"/>
          <w:color w:val="000000" w:themeColor="text1"/>
          <w:sz w:val="28"/>
          <w:szCs w:val="28"/>
          <w14:textFill>
            <w14:solidFill>
              <w14:schemeClr w14:val="tx1"/>
            </w14:solidFill>
          </w14:textFill>
        </w:rPr>
      </w:pPr>
    </w:p>
    <w:p>
      <w:pPr>
        <w:spacing w:line="56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3、</w:t>
      </w:r>
      <w:bookmarkStart w:id="12" w:name="OLE_LINK12"/>
      <w:bookmarkStart w:id="13" w:name="OLE_LINK11"/>
      <w:r>
        <w:rPr>
          <w:rFonts w:hint="eastAsia" w:ascii="宋体" w:hAnsi="宋体" w:cs="宋体"/>
          <w:color w:val="000000" w:themeColor="text1"/>
          <w:sz w:val="30"/>
          <w:szCs w:val="30"/>
          <w14:textFill>
            <w14:solidFill>
              <w14:schemeClr w14:val="tx1"/>
            </w14:solidFill>
          </w14:textFill>
        </w:rPr>
        <w:t>项目服务</w:t>
      </w:r>
      <w:bookmarkEnd w:id="12"/>
      <w:r>
        <w:rPr>
          <w:rFonts w:hint="eastAsia" w:ascii="宋体" w:hAnsi="宋体" w:cs="宋体"/>
          <w:color w:val="000000" w:themeColor="text1"/>
          <w:sz w:val="30"/>
          <w:szCs w:val="30"/>
          <w14:textFill>
            <w14:solidFill>
              <w14:schemeClr w14:val="tx1"/>
            </w14:solidFill>
          </w14:textFill>
        </w:rPr>
        <w:t>要求</w:t>
      </w:r>
      <w:bookmarkEnd w:id="13"/>
      <w:r>
        <w:rPr>
          <w:rFonts w:hint="eastAsia" w:ascii="宋体" w:hAnsi="宋体" w:cs="宋体"/>
          <w:color w:val="000000" w:themeColor="text1"/>
          <w:sz w:val="30"/>
          <w:szCs w:val="30"/>
          <w14:textFill>
            <w14:solidFill>
              <w14:schemeClr w14:val="tx1"/>
            </w14:solidFill>
          </w14:textFill>
        </w:rPr>
        <w:t>（前期：安装、调试；后期：质量保证期、售后服务、培训方案、保险等）</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w:t>
      </w:r>
      <w:r>
        <w:rPr>
          <w:rFonts w:hint="eastAsia" w:ascii="宋体" w:hAnsi="宋体" w:cs="宋体"/>
          <w:color w:val="000000" w:themeColor="text1"/>
          <w:sz w:val="28"/>
          <w:szCs w:val="28"/>
          <w:lang w:val="zh-CN"/>
          <w14:textFill>
            <w14:solidFill>
              <w14:schemeClr w14:val="tx1"/>
            </w14:solidFill>
          </w14:textFill>
        </w:rPr>
        <w:t>中标人技术工程师负责现场的免费安装、调试；如需特殊安装条件的，中标人应当发货前30天内与采购人进行场地安装事宜的确认。</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3.2</w:t>
      </w:r>
      <w:r>
        <w:rPr>
          <w:rFonts w:hint="eastAsia" w:ascii="宋体" w:hAnsi="宋体" w:cs="宋体"/>
          <w:color w:val="000000" w:themeColor="text1"/>
          <w:sz w:val="28"/>
          <w:szCs w:val="28"/>
          <w:lang w:val="zh-CN"/>
          <w14:textFill>
            <w14:solidFill>
              <w14:schemeClr w14:val="tx1"/>
            </w14:solidFill>
          </w14:textFill>
        </w:rPr>
        <w:t>货物运抵安装现场后，采购人应当与中标人共同开箱；中标人技术工程师负责现场的免费安装、调试；验收结果以采购人的验收报告为最终验收结果，验收时发现短缺、破损,采购人有权要求中标人立即补发和负责更换。</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3.3</w:t>
      </w:r>
      <w:r>
        <w:rPr>
          <w:rFonts w:hint="eastAsia" w:ascii="宋体" w:hAnsi="宋体" w:cs="宋体"/>
          <w:color w:val="000000" w:themeColor="text1"/>
          <w:sz w:val="28"/>
          <w:szCs w:val="28"/>
          <w:lang w:val="zh-CN"/>
          <w14:textFill>
            <w14:solidFill>
              <w14:schemeClr w14:val="tx1"/>
            </w14:solidFill>
          </w14:textFill>
        </w:rPr>
        <w:t>中标人应提出仪器设备测试的内容、项目、指标和方法,中标人有责任对采购人的技术人员提出的问题作出解答。测试应进行详细记录,仪器设备测试结束后,由中标人技术人员签字后交给采购人验收。</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3.4</w:t>
      </w:r>
      <w:r>
        <w:rPr>
          <w:rFonts w:hint="eastAsia" w:ascii="宋体" w:hAnsi="宋体" w:cs="宋体"/>
          <w:color w:val="000000" w:themeColor="text1"/>
          <w:sz w:val="28"/>
          <w:szCs w:val="28"/>
          <w:lang w:val="zh-CN"/>
          <w14:textFill>
            <w14:solidFill>
              <w14:schemeClr w14:val="tx1"/>
            </w14:solidFill>
          </w14:textFill>
        </w:rPr>
        <w:t>中标人应提前一周将发货信息提供给采购人。货物到达后，采购人应将到货信息立即通知中标人。中标人应协助采购人于到货后一周（7天）内将设备在安装基础上就位，并做好现场安装调试、验收的各项准备工作，包括必要的试件、刀具及检具等。验收期应最晚不迟于交货后90天内，除双方协商的特殊情况外。</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3.5</w:t>
      </w:r>
      <w:r>
        <w:rPr>
          <w:rFonts w:hint="eastAsia" w:ascii="宋体" w:hAnsi="宋体" w:cs="宋体"/>
          <w:color w:val="000000" w:themeColor="text1"/>
          <w:sz w:val="28"/>
          <w:szCs w:val="28"/>
          <w:lang w:val="zh-CN"/>
          <w14:textFill>
            <w14:solidFill>
              <w14:schemeClr w14:val="tx1"/>
            </w14:solidFill>
          </w14:textFill>
        </w:rPr>
        <w:t>中标人需为本项目配备足够的售后服务力量；如果仪器设备发生故障，中标人要排查故障并修复至原最终验收指标和性能的要求。</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3.6</w:t>
      </w:r>
      <w:r>
        <w:rPr>
          <w:rFonts w:hint="eastAsia" w:ascii="宋体" w:hAnsi="宋体" w:cs="宋体"/>
          <w:color w:val="000000" w:themeColor="text1"/>
          <w:sz w:val="28"/>
          <w:szCs w:val="28"/>
          <w:lang w:val="zh-CN"/>
          <w14:textFill>
            <w14:solidFill>
              <w14:schemeClr w14:val="tx1"/>
            </w14:solidFill>
          </w14:textFill>
        </w:rPr>
        <w:t>中标人提供仪器设备的质量保证期为</w:t>
      </w:r>
      <w:r>
        <w:rPr>
          <w:rFonts w:hint="eastAsia" w:ascii="宋体" w:hAnsi="宋体" w:cs="宋体"/>
          <w:color w:val="000000" w:themeColor="text1"/>
          <w:sz w:val="28"/>
          <w:szCs w:val="28"/>
          <w14:textFill>
            <w14:solidFill>
              <w14:schemeClr w14:val="tx1"/>
            </w14:solidFill>
          </w14:textFill>
        </w:rPr>
        <w:t>验收完成</w:t>
      </w:r>
      <w:r>
        <w:rPr>
          <w:rFonts w:hint="eastAsia" w:ascii="宋体" w:hAnsi="宋体" w:cs="宋体"/>
          <w:color w:val="000000" w:themeColor="text1"/>
          <w:sz w:val="28"/>
          <w:szCs w:val="28"/>
          <w:lang w:val="zh-CN"/>
          <w14:textFill>
            <w14:solidFill>
              <w14:schemeClr w14:val="tx1"/>
            </w14:solidFill>
          </w14:textFill>
        </w:rPr>
        <w:t>后</w:t>
      </w:r>
      <w:r>
        <w:rPr>
          <w:rFonts w:hint="eastAsia" w:ascii="宋体" w:hAnsi="宋体" w:cs="宋体"/>
          <w:color w:val="000000" w:themeColor="text1"/>
          <w:sz w:val="28"/>
          <w:szCs w:val="28"/>
          <w14:textFill>
            <w14:solidFill>
              <w14:schemeClr w14:val="tx1"/>
            </w14:solidFill>
          </w14:textFill>
        </w:rPr>
        <w:t>24</w:t>
      </w:r>
      <w:r>
        <w:rPr>
          <w:rFonts w:hint="eastAsia" w:ascii="宋体" w:hAnsi="宋体" w:cs="宋体"/>
          <w:color w:val="000000" w:themeColor="text1"/>
          <w:sz w:val="28"/>
          <w:szCs w:val="28"/>
          <w:lang w:val="zh-CN"/>
          <w14:textFill>
            <w14:solidFill>
              <w14:schemeClr w14:val="tx1"/>
            </w14:solidFill>
          </w14:textFill>
        </w:rPr>
        <w:t>个月（质保期内免费维修并更换除消耗品以外的零部件，维修人员的路费、食宿等自理），并提供相关保修文件材料。</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3.7</w:t>
      </w:r>
      <w:r>
        <w:rPr>
          <w:rFonts w:hint="eastAsia" w:ascii="宋体" w:hAnsi="宋体" w:cs="宋体"/>
          <w:color w:val="000000" w:themeColor="text1"/>
          <w:sz w:val="28"/>
          <w:szCs w:val="28"/>
          <w:lang w:val="zh-CN"/>
          <w14:textFill>
            <w14:solidFill>
              <w14:schemeClr w14:val="tx1"/>
            </w14:solidFill>
          </w14:textFill>
        </w:rPr>
        <w:t>中标人售后服务响应时间（24小时热线电话、电子邮件）：电话响应时间要求1小时内，到场响应时间要求24个小时内（指从接到报障至到达故障现场的时间）；电子邮件响应时间要求为24小时内。</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3.8</w:t>
      </w:r>
      <w:r>
        <w:rPr>
          <w:rFonts w:hint="eastAsia" w:ascii="宋体" w:hAnsi="宋体" w:cs="宋体"/>
          <w:color w:val="000000" w:themeColor="text1"/>
          <w:sz w:val="28"/>
          <w:szCs w:val="28"/>
          <w:lang w:val="zh-CN"/>
          <w14:textFill>
            <w14:solidFill>
              <w14:schemeClr w14:val="tx1"/>
            </w14:solidFill>
          </w14:textFill>
        </w:rPr>
        <w:t>为保证中标人所提供的仪器设备安全、可靠运行，便于采购人运行维护，中标人必须对采购人培训合格的维护和管理人员。</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3.9</w:t>
      </w:r>
      <w:r>
        <w:rPr>
          <w:rFonts w:ascii="宋体" w:hAnsi="宋体" w:cs="宋体"/>
          <w:color w:val="000000" w:themeColor="text1"/>
          <w:sz w:val="28"/>
          <w:szCs w:val="28"/>
          <w:lang w:val="zh-CN"/>
          <w14:textFill>
            <w14:solidFill>
              <w14:schemeClr w14:val="tx1"/>
            </w14:solidFill>
          </w14:textFill>
        </w:rPr>
        <w:t>中标方应在产品安装</w:t>
      </w:r>
      <w:r>
        <w:rPr>
          <w:rFonts w:hint="eastAsia" w:ascii="宋体" w:hAnsi="宋体" w:cs="宋体"/>
          <w:color w:val="000000" w:themeColor="text1"/>
          <w:sz w:val="28"/>
          <w:szCs w:val="28"/>
          <w:lang w:val="zh-CN"/>
          <w14:textFill>
            <w14:solidFill>
              <w14:schemeClr w14:val="tx1"/>
            </w14:solidFill>
          </w14:textFill>
        </w:rPr>
        <w:t>调试</w:t>
      </w:r>
      <w:r>
        <w:rPr>
          <w:rFonts w:ascii="宋体" w:hAnsi="宋体" w:cs="宋体"/>
          <w:color w:val="000000" w:themeColor="text1"/>
          <w:sz w:val="28"/>
          <w:szCs w:val="28"/>
          <w:lang w:val="zh-CN"/>
          <w14:textFill>
            <w14:solidFill>
              <w14:schemeClr w14:val="tx1"/>
            </w14:solidFill>
          </w14:textFill>
        </w:rPr>
        <w:t>后</w:t>
      </w:r>
      <w:r>
        <w:rPr>
          <w:rFonts w:hint="eastAsia" w:ascii="宋体" w:hAnsi="宋体" w:cs="宋体"/>
          <w:color w:val="000000" w:themeColor="text1"/>
          <w:sz w:val="28"/>
          <w:szCs w:val="28"/>
          <w:lang w:val="zh-CN"/>
          <w14:textFill>
            <w14:solidFill>
              <w14:schemeClr w14:val="tx1"/>
            </w14:solidFill>
          </w14:textFill>
        </w:rPr>
        <w:t>负责开展设备操作</w:t>
      </w:r>
      <w:r>
        <w:rPr>
          <w:rFonts w:ascii="宋体" w:hAnsi="宋体" w:cs="宋体"/>
          <w:color w:val="000000" w:themeColor="text1"/>
          <w:sz w:val="28"/>
          <w:szCs w:val="28"/>
          <w:lang w:val="zh-CN"/>
          <w14:textFill>
            <w14:solidFill>
              <w14:schemeClr w14:val="tx1"/>
            </w14:solidFill>
          </w14:textFill>
        </w:rPr>
        <w:t>培训，培训地点由学校提供，培训不少于10</w:t>
      </w:r>
      <w:r>
        <w:rPr>
          <w:rFonts w:hint="eastAsia" w:ascii="宋体" w:hAnsi="宋体" w:cs="宋体"/>
          <w:color w:val="000000" w:themeColor="text1"/>
          <w:sz w:val="28"/>
          <w:szCs w:val="28"/>
          <w:lang w:val="zh-CN"/>
          <w14:textFill>
            <w14:solidFill>
              <w14:schemeClr w14:val="tx1"/>
            </w14:solidFill>
          </w14:textFill>
        </w:rPr>
        <w:t>天</w:t>
      </w:r>
      <w:r>
        <w:rPr>
          <w:rFonts w:ascii="宋体" w:hAnsi="宋体" w:cs="宋体"/>
          <w:color w:val="000000" w:themeColor="text1"/>
          <w:sz w:val="28"/>
          <w:szCs w:val="28"/>
          <w:lang w:val="zh-CN"/>
          <w14:textFill>
            <w14:solidFill>
              <w14:schemeClr w14:val="tx1"/>
            </w14:solidFill>
          </w14:textFill>
        </w:rPr>
        <w:t>，培训人数不限</w:t>
      </w:r>
      <w:r>
        <w:rPr>
          <w:rFonts w:hint="eastAsia" w:ascii="宋体" w:hAnsi="宋体" w:cs="宋体"/>
          <w:color w:val="000000" w:themeColor="text1"/>
          <w:sz w:val="28"/>
          <w:szCs w:val="28"/>
          <w:lang w:val="zh-CN"/>
          <w14:textFill>
            <w14:solidFill>
              <w14:schemeClr w14:val="tx1"/>
            </w14:solidFill>
          </w14:textFill>
        </w:rPr>
        <w:t>。</w:t>
      </w:r>
      <w:r>
        <w:rPr>
          <w:rFonts w:ascii="宋体" w:hAnsi="宋体" w:cs="宋体"/>
          <w:color w:val="000000" w:themeColor="text1"/>
          <w:sz w:val="28"/>
          <w:szCs w:val="28"/>
          <w:lang w:val="zh-CN"/>
          <w14:textFill>
            <w14:solidFill>
              <w14:schemeClr w14:val="tx1"/>
            </w14:solidFill>
          </w14:textFill>
        </w:rPr>
        <w:t>在项目验收后的三年内，每年安排不少于2次现场或其他方式培训，培训时间、地点与采购人协商确定。</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3.10</w:t>
      </w:r>
      <w:r>
        <w:rPr>
          <w:rFonts w:hint="eastAsia" w:ascii="宋体" w:hAnsi="宋体" w:cs="宋体"/>
          <w:color w:val="000000" w:themeColor="text1"/>
          <w:sz w:val="28"/>
          <w:szCs w:val="28"/>
          <w:lang w:val="zh-CN"/>
          <w14:textFill>
            <w14:solidFill>
              <w14:schemeClr w14:val="tx1"/>
            </w14:solidFill>
          </w14:textFill>
        </w:rPr>
        <w:t>中标人提供该设备的技术使用说明书及外购配件仪器说明书，并指导在使用该设备时的操作注意。</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3.11</w:t>
      </w:r>
      <w:r>
        <w:rPr>
          <w:rFonts w:hint="eastAsia" w:ascii="宋体" w:hAnsi="宋体" w:cs="宋体"/>
          <w:color w:val="000000" w:themeColor="text1"/>
          <w:sz w:val="28"/>
          <w:szCs w:val="28"/>
          <w:lang w:val="zh-CN"/>
          <w14:textFill>
            <w14:solidFill>
              <w14:schemeClr w14:val="tx1"/>
            </w14:solidFill>
          </w14:textFill>
        </w:rPr>
        <w:t>货物到达采购人指点地点前的包装、运输等均由中标人负责。针对特殊设备应使用崭新坚固的木质包装（标准包装，必要时为木质烟熏包装），适合于空运、或陆运等长途运输方式；适合气候变化；中标人应对任何由于不当包装或防护措施不利而导致的商品损坏、损失、费用增长等后果负责。</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p>
    <w:p>
      <w:pPr>
        <w:spacing w:line="56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4、</w:t>
      </w:r>
      <w:bookmarkStart w:id="14" w:name="OLE_LINK31"/>
      <w:r>
        <w:rPr>
          <w:rFonts w:hint="eastAsia" w:ascii="宋体" w:hAnsi="宋体" w:cs="宋体"/>
          <w:color w:val="000000" w:themeColor="text1"/>
          <w:sz w:val="30"/>
          <w:szCs w:val="30"/>
          <w14:textFill>
            <w14:solidFill>
              <w14:schemeClr w14:val="tx1"/>
            </w14:solidFill>
          </w14:textFill>
        </w:rPr>
        <w:t>验收要求</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4.1</w:t>
      </w:r>
      <w:r>
        <w:rPr>
          <w:rFonts w:hint="eastAsia" w:ascii="宋体" w:hAnsi="宋体" w:cs="宋体"/>
          <w:color w:val="000000" w:themeColor="text1"/>
          <w:sz w:val="28"/>
          <w:szCs w:val="28"/>
          <w:lang w:val="zh-CN"/>
          <w14:textFill>
            <w14:solidFill>
              <w14:schemeClr w14:val="tx1"/>
            </w14:solidFill>
          </w14:textFill>
        </w:rPr>
        <w:t>当同时满足以下条件时，采购人才向中标人签发货物验收报告：</w:t>
      </w:r>
    </w:p>
    <w:p>
      <w:pPr>
        <w:spacing w:line="560" w:lineRule="exact"/>
        <w:ind w:left="420" w:leftChars="200"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a、中标人已按照合同规定提供了全部产品及完整的技术资料。</w:t>
      </w:r>
    </w:p>
    <w:p>
      <w:pPr>
        <w:spacing w:line="560" w:lineRule="exact"/>
        <w:ind w:left="420" w:leftChars="200"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b、货物符合采购文件技术规格书的要求，性能满足要求。</w:t>
      </w:r>
    </w:p>
    <w:p>
      <w:pPr>
        <w:spacing w:line="560" w:lineRule="exact"/>
        <w:ind w:left="420" w:leftChars="200"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c、货物具备产品合格证。</w:t>
      </w:r>
    </w:p>
    <w:p>
      <w:pPr>
        <w:spacing w:line="560" w:lineRule="exact"/>
        <w:ind w:firstLine="560" w:firstLineChars="200"/>
        <w:rPr>
          <w:rFonts w:hint="eastAsia"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4.2</w:t>
      </w:r>
      <w:r>
        <w:rPr>
          <w:rFonts w:hint="eastAsia" w:ascii="宋体" w:hAnsi="宋体" w:cs="宋体"/>
          <w:color w:val="000000" w:themeColor="text1"/>
          <w:sz w:val="28"/>
          <w:szCs w:val="28"/>
          <w:lang w:val="zh-CN"/>
          <w14:textFill>
            <w14:solidFill>
              <w14:schemeClr w14:val="tx1"/>
            </w14:solidFill>
          </w14:textFill>
        </w:rPr>
        <w:t>对于采购人不具备验收测试环境的设备和软件等，可考虑增加验收条款在厂家发货前进行验收测试，或要求提供有资质的第三方测试报告。</w:t>
      </w:r>
    </w:p>
    <w:p>
      <w:pPr>
        <w:pStyle w:val="2"/>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4.3验收时采购人将核对中标供应商实际供货与其《关于符合本国产品标准的声明函》的一致性，必要时可抽查《声明函》承诺。</w:t>
      </w:r>
    </w:p>
    <w:p>
      <w:pPr>
        <w:pStyle w:val="2"/>
        <w:ind w:firstLine="560" w:firstLineChars="200"/>
        <w:rPr>
          <w:color w:val="000000" w:themeColor="text1"/>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4.4</w:t>
      </w:r>
      <w:r>
        <w:rPr>
          <w:rFonts w:ascii="宋体" w:hAnsi="宋体" w:cs="宋体"/>
          <w:color w:val="000000" w:themeColor="text1"/>
          <w:sz w:val="28"/>
          <w:szCs w:val="28"/>
          <w14:textFill>
            <w14:solidFill>
              <w14:schemeClr w14:val="tx1"/>
            </w14:solidFill>
          </w14:textFill>
        </w:rPr>
        <w:t>收到供应商验收申请后7</w:t>
      </w:r>
      <w:r>
        <w:rPr>
          <w:rFonts w:hint="eastAsia" w:ascii="宋体" w:hAnsi="宋体" w:cs="宋体"/>
          <w:color w:val="000000" w:themeColor="text1"/>
          <w:sz w:val="28"/>
          <w:szCs w:val="28"/>
          <w14:textFill>
            <w14:solidFill>
              <w14:schemeClr w14:val="tx1"/>
            </w14:solidFill>
          </w14:textFill>
        </w:rPr>
        <w:t>个工作</w:t>
      </w:r>
      <w:r>
        <w:rPr>
          <w:rFonts w:ascii="宋体" w:hAnsi="宋体" w:cs="宋体"/>
          <w:color w:val="000000" w:themeColor="text1"/>
          <w:sz w:val="28"/>
          <w:szCs w:val="28"/>
          <w14:textFill>
            <w14:solidFill>
              <w14:schemeClr w14:val="tx1"/>
            </w14:solidFill>
          </w14:textFill>
        </w:rPr>
        <w:t>日内组织履约验收</w:t>
      </w:r>
      <w:r>
        <w:rPr>
          <w:rFonts w:hint="eastAsia" w:ascii="宋体" w:hAnsi="宋体" w:cs="宋体"/>
          <w:color w:val="000000" w:themeColor="text1"/>
          <w:sz w:val="28"/>
          <w:szCs w:val="28"/>
          <w14:textFill>
            <w14:solidFill>
              <w14:schemeClr w14:val="tx1"/>
            </w14:solidFill>
          </w14:textFill>
        </w:rPr>
        <w:t>。</w:t>
      </w:r>
    </w:p>
    <w:bookmarkEnd w:id="14"/>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p>
    <w:p>
      <w:pPr>
        <w:spacing w:line="560" w:lineRule="exact"/>
        <w:rPr>
          <w:rFonts w:hint="eastAsia"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5、付款要求（分期付款比例等）</w:t>
      </w:r>
    </w:p>
    <w:p>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1.签署合同生效且财政资金到位后5个工作日内，采购人</w:t>
      </w:r>
      <w:r>
        <w:rPr>
          <w:rFonts w:ascii="宋体" w:hAnsi="宋体" w:cs="宋体"/>
          <w:color w:val="000000" w:themeColor="text1"/>
          <w:sz w:val="28"/>
          <w:szCs w:val="28"/>
          <w14:textFill>
            <w14:solidFill>
              <w14:schemeClr w14:val="tx1"/>
            </w14:solidFill>
          </w14:textFill>
        </w:rPr>
        <w:t>向成交供应商支付合同总额的</w:t>
      </w:r>
      <w:r>
        <w:rPr>
          <w:rFonts w:hint="eastAsia" w:ascii="宋体" w:hAnsi="宋体" w:cs="宋体"/>
          <w:color w:val="000000" w:themeColor="text1"/>
          <w:sz w:val="28"/>
          <w:szCs w:val="28"/>
          <w14:textFill>
            <w14:solidFill>
              <w14:schemeClr w14:val="tx1"/>
            </w14:solidFill>
          </w14:textFill>
        </w:rPr>
        <w:t>3</w:t>
      </w:r>
      <w:r>
        <w:rPr>
          <w:rFonts w:ascii="宋体" w:hAnsi="宋体" w:cs="宋体"/>
          <w:color w:val="000000" w:themeColor="text1"/>
          <w:sz w:val="28"/>
          <w:szCs w:val="28"/>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2.项目验收完成，且现场培训完成后，5个工作日内，采购人</w:t>
      </w:r>
      <w:r>
        <w:rPr>
          <w:rFonts w:ascii="宋体" w:hAnsi="宋体" w:cs="宋体"/>
          <w:color w:val="000000" w:themeColor="text1"/>
          <w:sz w:val="28"/>
          <w:szCs w:val="28"/>
          <w14:textFill>
            <w14:solidFill>
              <w14:schemeClr w14:val="tx1"/>
            </w14:solidFill>
          </w14:textFill>
        </w:rPr>
        <w:t>向成交供应商支付合同总额的</w:t>
      </w:r>
      <w:r>
        <w:rPr>
          <w:rFonts w:hint="eastAsia" w:ascii="宋体" w:hAnsi="宋体" w:cs="宋体"/>
          <w:color w:val="000000" w:themeColor="text1"/>
          <w:sz w:val="28"/>
          <w:szCs w:val="28"/>
          <w14:textFill>
            <w14:solidFill>
              <w14:schemeClr w14:val="tx1"/>
            </w14:solidFill>
          </w14:textFill>
        </w:rPr>
        <w:t>7</w:t>
      </w:r>
      <w:r>
        <w:rPr>
          <w:rFonts w:ascii="宋体" w:hAnsi="宋体" w:cs="宋体"/>
          <w:color w:val="000000" w:themeColor="text1"/>
          <w:sz w:val="28"/>
          <w:szCs w:val="28"/>
          <w14:textFill>
            <w14:solidFill>
              <w14:schemeClr w14:val="tx1"/>
            </w14:solidFill>
          </w14:textFill>
        </w:rPr>
        <w:t>0%</w:t>
      </w:r>
      <w:r>
        <w:rPr>
          <w:rFonts w:hint="eastAsia" w:ascii="宋体" w:hAnsi="宋体" w:cs="宋体"/>
          <w:color w:val="000000" w:themeColor="text1"/>
          <w:sz w:val="28"/>
          <w:szCs w:val="28"/>
          <w14:textFill>
            <w14:solidFill>
              <w14:schemeClr w14:val="tx1"/>
            </w14:solidFill>
          </w14:textFill>
        </w:rPr>
        <w:t>；</w:t>
      </w:r>
    </w:p>
    <w:p>
      <w:pPr>
        <w:spacing w:line="360" w:lineRule="auto"/>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3.以上款项在中标人提交付款申请（首期款无须申请）及相应发票并由采购人监理单位审核确认后启动办理支付程序，采购人向财政主管部门完成支付材料提交即视为完成支付手续，具体款项支付时间视财局资金到位情况而定。</w:t>
      </w:r>
    </w:p>
    <w:p>
      <w:pPr>
        <w:jc w:val="center"/>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附件：</w:t>
      </w:r>
      <w:r>
        <w:rPr>
          <w:b/>
          <w:color w:val="000000" w:themeColor="text1"/>
          <w:sz w:val="24"/>
          <w14:textFill>
            <w14:solidFill>
              <w14:schemeClr w14:val="tx1"/>
            </w14:solidFill>
          </w14:textFill>
        </w:rPr>
        <w:t>异常低价审查</w:t>
      </w:r>
    </w:p>
    <w:p>
      <w:pPr>
        <w:ind w:firstLine="420" w:firstLineChars="200"/>
        <w:rPr>
          <w:color w:val="000000" w:themeColor="text1"/>
          <w14:textFill>
            <w14:solidFill>
              <w14:schemeClr w14:val="tx1"/>
            </w14:solidFill>
          </w14:textFill>
        </w:rPr>
      </w:pP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根据财政部2026年1月14日发布的《关于推动解决政府采购异常低价问题的通知》规定，本项目将对投标人的异常低价进行审查。</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（一）如投标人报价中出现下列情形之一的，评审委员会应当启动异常低价投标（响应）审查程序：</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1.投标（响应）报价低于全部通过符合性审查供应商投标（响应）报价平均值50%的，即投标（响应）报价&lt;全部通过符合性审查供应商投标（响应）报价平均值×50%；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2.投标（响应）报价低于通过符合性审查的次低报价供应商投标（响应）报价50%的，即投标（响应）报价&lt;通过符合性审查的次低报价供应商投标（响应）报价×50%；</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3.投标（响应）报价低于采购项目最高限价45%的，即投标（响应）报价&lt;采购项目最高限价×45%；</w:t>
      </w:r>
    </w:p>
    <w:p>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4.评审委员会基于专业判断，认为供应商报价过低，有可能影响产品质量或者不能诚信履约的其他情形。</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spacing w:line="360" w:lineRule="auto"/>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bookmarkStart w:id="15" w:name="_GoBack"/>
      <w:bookmarkEnd w:id="1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10A56A"/>
    <w:multiLevelType w:val="singleLevel"/>
    <w:tmpl w:val="DE10A56A"/>
    <w:lvl w:ilvl="0" w:tentative="0">
      <w:start w:val="1"/>
      <w:numFmt w:val="chineseCounting"/>
      <w:suff w:val="nothing"/>
      <w:lvlText w:val="%1、"/>
      <w:lvlJc w:val="left"/>
      <w:pPr>
        <w:ind w:left="0" w:firstLine="0"/>
      </w:pPr>
      <w:rPr>
        <w:rFonts w:hint="eastAsia" w:ascii="仿宋" w:hAnsi="仿宋" w:eastAsia="仿宋"/>
        <w:b/>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dmY2I0MDllODZmZjA2YmQ3OGRiMTNlNmUwY2YifQ=="/>
  </w:docVars>
  <w:rsids>
    <w:rsidRoot w:val="1E832C47"/>
    <w:rsid w:val="1E832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null3"/>
    <w:hidden/>
    <w:qFormat/>
    <w:uiPriority w:val="0"/>
    <w:pPr>
      <w:spacing w:after="160" w:line="278" w:lineRule="auto"/>
    </w:pPr>
    <w:rPr>
      <w:rFonts w:hint="eastAsia" w:asciiTheme="minorHAnsi" w:hAnsiTheme="minorHAnsi" w:eastAsiaTheme="minorEastAsia" w:cstheme="minorBidi"/>
      <w:lang w:val="en-US" w:eastAsia="zh-Hans" w:bidi="ar-SA"/>
    </w:rPr>
  </w:style>
  <w:style w:type="character" w:customStyle="1" w:styleId="7">
    <w:name w:val="font21"/>
    <w:basedOn w:val="5"/>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2026-05-25T01:20:00Z</dcterms:created>
  <dc:creator>梁浩华</dc:creator>
  <cp:lastModifiedBy>梁浩华</cp:lastModifiedBy>
  <dcterms:modified xsi:type="dcterms:W3CDTF">2026-05-25T01:21:04Z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924BA5D696FC483085D142D49A2FF529_11</vt:lpwstr>
  </property>
</Properties>
</file>