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BB225">
      <w:pPr>
        <w:keepNext/>
        <w:keepLines/>
        <w:widowControl w:val="0"/>
        <w:spacing w:before="340" w:after="330" w:line="240" w:lineRule="atLeast"/>
        <w:jc w:val="center"/>
        <w:outlineLvl w:val="0"/>
        <w:rPr>
          <w:rFonts w:ascii="Times New Roman" w:hAnsi="Times New Roman" w:eastAsia="华文中宋" w:cs="Times New Roman"/>
          <w:b/>
          <w:bCs/>
          <w:kern w:val="44"/>
          <w:sz w:val="36"/>
          <w:szCs w:val="36"/>
          <w:lang w:val="en-US" w:eastAsia="zh-CN" w:bidi="ar-SA"/>
        </w:rPr>
      </w:pPr>
      <w:bookmarkStart w:id="0" w:name="_Toc513065351"/>
      <w:bookmarkStart w:id="19" w:name="_GoBack"/>
      <w:bookmarkEnd w:id="19"/>
      <w:r>
        <w:rPr>
          <w:rFonts w:ascii="Times New Roman" w:hAnsi="Times New Roman" w:eastAsia="华文中宋" w:cs="Times New Roman"/>
          <w:b/>
          <w:bCs/>
          <w:kern w:val="44"/>
          <w:sz w:val="36"/>
          <w:szCs w:val="36"/>
          <w:lang w:val="en-US" w:eastAsia="zh-CN" w:bidi="ar-SA"/>
        </w:rPr>
        <w:t>招标项目技术、服务、采购合同内容条款及其他商务要求</w:t>
      </w:r>
      <w:bookmarkEnd w:id="0"/>
    </w:p>
    <w:p w14:paraId="76872DDC">
      <w:pPr>
        <w:keepNext/>
        <w:keepLines/>
        <w:widowControl w:val="0"/>
        <w:spacing w:before="260" w:after="260" w:line="400" w:lineRule="exact"/>
        <w:jc w:val="both"/>
        <w:outlineLvl w:val="1"/>
        <w:rPr>
          <w:rFonts w:ascii="Times New Roman" w:hAnsi="Times New Roman" w:eastAsia="宋体" w:cs="Times New Roman"/>
          <w:b/>
          <w:bCs/>
          <w:kern w:val="2"/>
          <w:sz w:val="24"/>
          <w:szCs w:val="24"/>
          <w:lang w:val="en-US" w:eastAsia="zh-CN" w:bidi="ar-SA"/>
        </w:rPr>
      </w:pPr>
      <w:r>
        <w:rPr>
          <w:rFonts w:ascii="Times New Roman" w:hAnsi="Times New Roman" w:eastAsia="宋体" w:cs="Times New Roman"/>
          <w:b/>
          <w:bCs/>
          <w:kern w:val="2"/>
          <w:sz w:val="24"/>
          <w:szCs w:val="24"/>
          <w:lang w:val="en-US" w:eastAsia="zh-CN" w:bidi="ar-SA"/>
        </w:rPr>
        <w:t>前提：本章中标注“★”的条款为本项目的实质性要求条款，投标人不满足的，将在符合性审查时按照无效投标处理。具体详见第七章“综合评分明细表”。</w:t>
      </w:r>
    </w:p>
    <w:p w14:paraId="7C5D3120">
      <w:pPr>
        <w:keepNext/>
        <w:keepLines/>
        <w:widowControl w:val="0"/>
        <w:numPr>
          <w:ilvl w:val="0"/>
          <w:numId w:val="1"/>
        </w:numPr>
        <w:spacing w:before="260" w:after="260" w:line="400" w:lineRule="exact"/>
        <w:ind w:left="504" w:hanging="504"/>
        <w:jc w:val="both"/>
        <w:outlineLvl w:val="1"/>
        <w:rPr>
          <w:rFonts w:ascii="Times New Roman" w:hAnsi="Times New Roman" w:eastAsia="宋体" w:cs="Times New Roman"/>
          <w:b/>
          <w:bCs/>
          <w:kern w:val="2"/>
          <w:sz w:val="24"/>
          <w:szCs w:val="24"/>
          <w:lang w:val="en-US" w:eastAsia="zh-CN" w:bidi="ar-SA"/>
        </w:rPr>
      </w:pPr>
      <w:r>
        <w:rPr>
          <w:rFonts w:ascii="Times New Roman" w:hAnsi="Times New Roman" w:eastAsia="宋体" w:cs="Times New Roman"/>
          <w:b/>
          <w:bCs/>
          <w:kern w:val="2"/>
          <w:sz w:val="24"/>
          <w:szCs w:val="24"/>
          <w:lang w:val="en-US" w:eastAsia="zh-CN" w:bidi="ar-SA"/>
        </w:rPr>
        <w:t>项目概述</w:t>
      </w:r>
    </w:p>
    <w:p w14:paraId="4FDE5A1C">
      <w:pPr>
        <w:spacing w:line="440" w:lineRule="exact"/>
        <w:ind w:firstLine="480" w:firstLineChars="200"/>
        <w:rPr>
          <w:rFonts w:ascii="Times New Roman" w:hAnsi="Times New Roman"/>
          <w:sz w:val="24"/>
        </w:rPr>
      </w:pPr>
      <w:r>
        <w:rPr>
          <w:rFonts w:hint="eastAsia" w:ascii="Times New Roman" w:hAnsi="Times New Roman"/>
          <w:sz w:val="24"/>
        </w:rPr>
        <w:t>1、项目概况</w:t>
      </w:r>
    </w:p>
    <w:p w14:paraId="04B51F05">
      <w:pPr>
        <w:spacing w:line="440" w:lineRule="exact"/>
        <w:ind w:firstLine="480" w:firstLineChars="200"/>
        <w:rPr>
          <w:rFonts w:ascii="Times New Roman" w:hAnsi="Times New Roman"/>
          <w:sz w:val="24"/>
        </w:rPr>
      </w:pPr>
      <w:r>
        <w:rPr>
          <w:rFonts w:hint="eastAsia" w:ascii="Times New Roman" w:hAnsi="Times New Roman"/>
          <w:sz w:val="24"/>
        </w:rPr>
        <w:t>本</w:t>
      </w:r>
      <w:r>
        <w:rPr>
          <w:rFonts w:ascii="Times New Roman" w:hAnsi="Times New Roman"/>
          <w:sz w:val="24"/>
        </w:rPr>
        <w:t>项目拟建设集纳秒、皮秒与飞秒多时间尺度激光加工，多波长光路耦合输出，以及宏/微/纳/近原子尺度结构制备于一体的超快光学原子级加工装备。设备可根据不同材料特性和工艺需求，在高效率材料去除、低损伤精密加工与超精细结构制备之间灵活切换，满足先进制造领域对多尺度、高精度、低热影响加工能力的迫切需求。此外，在飞秒加工模式下，系统通过非线性频率转换实现红外、绿光及紫外多波段飞秒激光输出，显著拓展其在金属、半导体、光学晶体、陶瓷及硬脆材料等多类材料上的工艺适应性。依托飞秒激光超短脉宽、极高峰值功率和短波长精细聚焦特性，设备可实现超低热影响、超高空间分辨率和高可控能量沉积，在工件表面原位制备兼具微米、纳米乃至近原子尺度特征的多级结构，推动表面形貌、界面状态与功能性能的协同调控。</w:t>
      </w:r>
    </w:p>
    <w:p w14:paraId="13B093C4">
      <w:pPr>
        <w:spacing w:line="440" w:lineRule="exact"/>
        <w:ind w:firstLine="480" w:firstLineChars="200"/>
        <w:rPr>
          <w:rFonts w:ascii="Times New Roman" w:hAnsi="Times New Roman"/>
          <w:sz w:val="24"/>
        </w:rPr>
      </w:pPr>
      <w:r>
        <w:rPr>
          <w:rFonts w:hint="eastAsia" w:ascii="Times New Roman" w:hAnsi="Times New Roman"/>
          <w:sz w:val="24"/>
        </w:rPr>
        <w:t>2、拟实现的主要功能或目标</w:t>
      </w:r>
    </w:p>
    <w:p w14:paraId="239C3533">
      <w:pPr>
        <w:spacing w:line="440" w:lineRule="exact"/>
        <w:ind w:firstLine="480" w:firstLineChars="200"/>
        <w:rPr>
          <w:rFonts w:hint="eastAsia" w:ascii="Times New Roman" w:hAnsi="Times New Roman"/>
          <w:sz w:val="24"/>
        </w:rPr>
      </w:pPr>
      <w:r>
        <w:rPr>
          <w:rFonts w:hint="eastAsia" w:ascii="Times New Roman" w:hAnsi="Times New Roman"/>
          <w:sz w:val="24"/>
        </w:rPr>
        <w:t>本项目拟购置一台多光路耦合超快光学原子级加工装备，构建集红外、绿光、紫外飞秒激光及355 nm皮秒、纳秒激光于一体的多波段、多脉宽精密加工平台，实现五套独立振镜光路与高倍物镜光路的灵活切换和协同加工。设备依托大行程X–Y–Z–R–A五轴精密运动平台及六轴机器人，可完成复杂曲面和异形工件的精准定位、姿态调整、翻转装夹、多角度加工及大幅面高一致性拼接。系统具备振镜—运动平台—激光脉冲硬件同步、参数化编程、轨迹预览及工艺参数协同控制等功能，可开展微孔、微槽、微纳结构制备、表面改性、超精密去除及近原子级加工机理研究。在紫外飞秒加工模式下，最小聚焦光斑不大于2 μm，标准样块单脉冲平均材料去除深度不大于10 nm，具备亚微米空间分辨率和纳米量级可控去除能力。</w:t>
      </w:r>
    </w:p>
    <w:p w14:paraId="325CF954">
      <w:pPr>
        <w:spacing w:line="440" w:lineRule="exact"/>
        <w:ind w:firstLine="480" w:firstLineChars="200"/>
        <w:rPr>
          <w:rFonts w:ascii="Times New Roman" w:hAnsi="Times New Roman"/>
          <w:sz w:val="24"/>
        </w:rPr>
      </w:pPr>
      <w:r>
        <w:rPr>
          <w:rFonts w:hint="eastAsia" w:ascii="Times New Roman" w:hAnsi="Times New Roman"/>
          <w:sz w:val="24"/>
        </w:rPr>
        <w:t>3、采购清单</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1553"/>
        <w:gridCol w:w="873"/>
        <w:gridCol w:w="835"/>
        <w:gridCol w:w="1161"/>
        <w:gridCol w:w="1161"/>
        <w:gridCol w:w="1297"/>
        <w:gridCol w:w="1161"/>
      </w:tblGrid>
      <w:tr w14:paraId="1229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282" w:type="pct"/>
            <w:noWrap w:val="0"/>
            <w:vAlign w:val="center"/>
          </w:tcPr>
          <w:p w14:paraId="4AD4C6A9">
            <w:pPr>
              <w:jc w:val="center"/>
              <w:rPr>
                <w:rFonts w:hint="eastAsia" w:ascii="宋体" w:hAnsi="宋体"/>
                <w:b/>
                <w:sz w:val="24"/>
              </w:rPr>
            </w:pPr>
            <w:bookmarkStart w:id="1" w:name="_Hlk212463801"/>
            <w:r>
              <w:rPr>
                <w:rFonts w:ascii="宋体" w:hAnsi="宋体"/>
                <w:b/>
                <w:sz w:val="24"/>
              </w:rPr>
              <w:t>序号</w:t>
            </w:r>
          </w:p>
        </w:tc>
        <w:tc>
          <w:tcPr>
            <w:tcW w:w="911" w:type="pct"/>
            <w:noWrap w:val="0"/>
            <w:vAlign w:val="center"/>
          </w:tcPr>
          <w:p w14:paraId="718B7596">
            <w:pPr>
              <w:jc w:val="center"/>
              <w:rPr>
                <w:rFonts w:hint="eastAsia" w:ascii="宋体" w:hAnsi="宋体"/>
                <w:b/>
                <w:sz w:val="24"/>
              </w:rPr>
            </w:pPr>
            <w:r>
              <w:rPr>
                <w:rFonts w:hint="eastAsia" w:ascii="宋体" w:hAnsi="宋体"/>
                <w:b/>
                <w:sz w:val="24"/>
              </w:rPr>
              <w:t>标的</w:t>
            </w:r>
            <w:r>
              <w:rPr>
                <w:rFonts w:ascii="宋体" w:hAnsi="宋体"/>
                <w:b/>
                <w:sz w:val="24"/>
              </w:rPr>
              <w:t>名称</w:t>
            </w:r>
          </w:p>
        </w:tc>
        <w:tc>
          <w:tcPr>
            <w:tcW w:w="512" w:type="pct"/>
            <w:noWrap w:val="0"/>
            <w:vAlign w:val="center"/>
          </w:tcPr>
          <w:p w14:paraId="2B2EDD3E">
            <w:pPr>
              <w:jc w:val="center"/>
              <w:rPr>
                <w:rFonts w:hint="eastAsia" w:ascii="宋体" w:hAnsi="宋体"/>
                <w:b/>
                <w:sz w:val="24"/>
              </w:rPr>
            </w:pPr>
            <w:r>
              <w:rPr>
                <w:rFonts w:hint="eastAsia" w:ascii="宋体" w:hAnsi="宋体"/>
                <w:b/>
                <w:sz w:val="24"/>
              </w:rPr>
              <w:t>★数量</w:t>
            </w:r>
          </w:p>
        </w:tc>
        <w:tc>
          <w:tcPr>
            <w:tcW w:w="490" w:type="pct"/>
            <w:noWrap w:val="0"/>
            <w:vAlign w:val="center"/>
          </w:tcPr>
          <w:p w14:paraId="3B1A31CF">
            <w:pPr>
              <w:jc w:val="center"/>
              <w:rPr>
                <w:rFonts w:hint="eastAsia" w:ascii="宋体" w:hAnsi="宋体"/>
                <w:b/>
                <w:sz w:val="24"/>
              </w:rPr>
            </w:pPr>
            <w:r>
              <w:rPr>
                <w:rFonts w:hint="eastAsia" w:ascii="宋体" w:hAnsi="宋体"/>
                <w:b/>
                <w:sz w:val="24"/>
              </w:rPr>
              <w:t>所属行业</w:t>
            </w:r>
          </w:p>
        </w:tc>
        <w:tc>
          <w:tcPr>
            <w:tcW w:w="681" w:type="pct"/>
            <w:noWrap w:val="0"/>
            <w:vAlign w:val="center"/>
          </w:tcPr>
          <w:p w14:paraId="2B347234">
            <w:pPr>
              <w:widowControl/>
              <w:spacing w:after="0" w:line="240" w:lineRule="auto"/>
              <w:jc w:val="center"/>
              <w:rPr>
                <w:rFonts w:hint="eastAsia" w:ascii="宋体" w:hAnsi="宋体"/>
                <w:b/>
                <w:sz w:val="24"/>
              </w:rPr>
            </w:pPr>
            <w:r>
              <w:rPr>
                <w:rFonts w:hint="eastAsia" w:ascii="宋体" w:hAnsi="宋体"/>
                <w:b/>
                <w:sz w:val="24"/>
              </w:rPr>
              <w:t>是否属于优先采购节能产品</w:t>
            </w:r>
          </w:p>
        </w:tc>
        <w:tc>
          <w:tcPr>
            <w:tcW w:w="681" w:type="pct"/>
            <w:noWrap w:val="0"/>
            <w:vAlign w:val="center"/>
          </w:tcPr>
          <w:p w14:paraId="5BDF10DF">
            <w:pPr>
              <w:widowControl/>
              <w:spacing w:after="0" w:line="240" w:lineRule="auto"/>
              <w:jc w:val="center"/>
              <w:rPr>
                <w:rFonts w:hint="eastAsia" w:ascii="宋体" w:hAnsi="宋体"/>
                <w:b/>
                <w:sz w:val="24"/>
              </w:rPr>
            </w:pPr>
            <w:r>
              <w:rPr>
                <w:rFonts w:hint="eastAsia" w:ascii="宋体" w:hAnsi="宋体"/>
                <w:b/>
                <w:sz w:val="24"/>
              </w:rPr>
              <w:t>是否属于强制采购节能产品</w:t>
            </w:r>
          </w:p>
        </w:tc>
        <w:tc>
          <w:tcPr>
            <w:tcW w:w="761" w:type="pct"/>
            <w:noWrap w:val="0"/>
            <w:vAlign w:val="center"/>
          </w:tcPr>
          <w:p w14:paraId="5659E070">
            <w:pPr>
              <w:widowControl/>
              <w:spacing w:after="0" w:line="240" w:lineRule="auto"/>
              <w:jc w:val="center"/>
              <w:rPr>
                <w:rFonts w:hint="eastAsia" w:ascii="宋体" w:hAnsi="宋体"/>
                <w:b/>
                <w:sz w:val="24"/>
              </w:rPr>
            </w:pPr>
            <w:r>
              <w:rPr>
                <w:rFonts w:hint="eastAsia" w:ascii="宋体" w:hAnsi="宋体"/>
                <w:b/>
                <w:sz w:val="24"/>
              </w:rPr>
              <w:t>是否属于优先采购环境标志产品</w:t>
            </w:r>
          </w:p>
        </w:tc>
        <w:tc>
          <w:tcPr>
            <w:tcW w:w="681" w:type="pct"/>
            <w:noWrap w:val="0"/>
            <w:vAlign w:val="center"/>
          </w:tcPr>
          <w:p w14:paraId="79FD61CD">
            <w:pPr>
              <w:widowControl/>
              <w:spacing w:after="0" w:line="240" w:lineRule="auto"/>
              <w:jc w:val="center"/>
              <w:rPr>
                <w:rFonts w:hint="eastAsia" w:ascii="宋体" w:hAnsi="宋体"/>
                <w:b/>
                <w:sz w:val="24"/>
              </w:rPr>
            </w:pPr>
            <w:r>
              <w:rPr>
                <w:rFonts w:hint="eastAsia" w:ascii="宋体" w:hAnsi="宋体"/>
                <w:b/>
                <w:sz w:val="24"/>
              </w:rPr>
              <w:t>是否允许进口产品参与投标</w:t>
            </w:r>
          </w:p>
        </w:tc>
      </w:tr>
      <w:tr w14:paraId="6F55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 w:type="pct"/>
            <w:noWrap w:val="0"/>
            <w:vAlign w:val="center"/>
          </w:tcPr>
          <w:p w14:paraId="24D109E1">
            <w:pPr>
              <w:jc w:val="center"/>
              <w:rPr>
                <w:rFonts w:hint="eastAsia" w:ascii="宋体" w:hAnsi="宋体"/>
                <w:sz w:val="24"/>
              </w:rPr>
            </w:pPr>
            <w:r>
              <w:rPr>
                <w:rFonts w:hint="eastAsia" w:ascii="宋体" w:hAnsi="宋体"/>
                <w:sz w:val="24"/>
              </w:rPr>
              <w:t>1</w:t>
            </w:r>
          </w:p>
        </w:tc>
        <w:tc>
          <w:tcPr>
            <w:tcW w:w="911" w:type="pct"/>
            <w:noWrap w:val="0"/>
            <w:vAlign w:val="center"/>
          </w:tcPr>
          <w:p w14:paraId="3B052ADE">
            <w:pPr>
              <w:widowControl/>
              <w:jc w:val="center"/>
              <w:textAlignment w:val="center"/>
              <w:rPr>
                <w:rFonts w:hint="eastAsia" w:ascii="宋体" w:hAnsi="宋体"/>
                <w:color w:val="000000"/>
                <w:sz w:val="24"/>
              </w:rPr>
            </w:pPr>
            <w:r>
              <w:rPr>
                <w:color w:val="000000"/>
                <w:sz w:val="24"/>
                <w:lang w:bidi="en-US"/>
              </w:rPr>
              <w:t>多光路耦合超快光学原子级加工装备</w:t>
            </w:r>
          </w:p>
        </w:tc>
        <w:tc>
          <w:tcPr>
            <w:tcW w:w="512" w:type="pct"/>
            <w:noWrap w:val="0"/>
            <w:vAlign w:val="center"/>
          </w:tcPr>
          <w:p w14:paraId="6B779A7A">
            <w:pPr>
              <w:jc w:val="center"/>
              <w:rPr>
                <w:rFonts w:hint="eastAsia"/>
                <w:sz w:val="24"/>
              </w:rPr>
            </w:pPr>
            <w:r>
              <w:rPr>
                <w:rFonts w:hint="eastAsia"/>
                <w:sz w:val="24"/>
              </w:rPr>
              <w:t>1台</w:t>
            </w:r>
          </w:p>
        </w:tc>
        <w:tc>
          <w:tcPr>
            <w:tcW w:w="490" w:type="pct"/>
            <w:noWrap w:val="0"/>
            <w:vAlign w:val="center"/>
          </w:tcPr>
          <w:p w14:paraId="0F4C01B4">
            <w:pPr>
              <w:jc w:val="center"/>
              <w:rPr>
                <w:rFonts w:hint="eastAsia" w:ascii="宋体" w:hAnsi="宋体" w:cs="宋体"/>
                <w:kern w:val="0"/>
                <w:sz w:val="24"/>
                <w:lang w:bidi="ar"/>
              </w:rPr>
            </w:pPr>
            <w:r>
              <w:rPr>
                <w:rFonts w:hint="eastAsia" w:ascii="宋体" w:hAnsi="宋体"/>
                <w:sz w:val="24"/>
              </w:rPr>
              <w:t>工业</w:t>
            </w:r>
          </w:p>
        </w:tc>
        <w:tc>
          <w:tcPr>
            <w:tcW w:w="681" w:type="pct"/>
            <w:noWrap w:val="0"/>
            <w:vAlign w:val="center"/>
          </w:tcPr>
          <w:p w14:paraId="6DBF272A">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c>
          <w:tcPr>
            <w:tcW w:w="681" w:type="pct"/>
            <w:noWrap w:val="0"/>
            <w:vAlign w:val="center"/>
          </w:tcPr>
          <w:p w14:paraId="32FC8124">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c>
          <w:tcPr>
            <w:tcW w:w="761" w:type="pct"/>
            <w:noWrap w:val="0"/>
            <w:vAlign w:val="center"/>
          </w:tcPr>
          <w:p w14:paraId="2209A71E">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c>
          <w:tcPr>
            <w:tcW w:w="681" w:type="pct"/>
            <w:noWrap w:val="0"/>
            <w:vAlign w:val="center"/>
          </w:tcPr>
          <w:p w14:paraId="4AB04892">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r>
      <w:bookmarkEnd w:id="1"/>
    </w:tbl>
    <w:p w14:paraId="00235A1B">
      <w:pPr>
        <w:keepNext/>
        <w:keepLines/>
        <w:widowControl w:val="0"/>
        <w:spacing w:before="260" w:after="260" w:line="400" w:lineRule="exact"/>
        <w:jc w:val="both"/>
        <w:outlineLvl w:val="1"/>
        <w:rPr>
          <w:rFonts w:ascii="Times New Roman" w:hAnsi="Times New Roman" w:eastAsia="宋体" w:cs="Times New Roman"/>
          <w:b/>
          <w:bCs/>
          <w:kern w:val="2"/>
          <w:sz w:val="24"/>
          <w:szCs w:val="24"/>
          <w:lang w:val="en-US" w:eastAsia="zh-CN" w:bidi="ar-SA"/>
        </w:rPr>
      </w:pPr>
      <w:bookmarkStart w:id="2" w:name="PO_默认文件内容_21"/>
      <w:bookmarkStart w:id="3" w:name="_Toc217446095"/>
      <w:r>
        <w:rPr>
          <w:rFonts w:hint="eastAsia" w:ascii="Times New Roman" w:hAnsi="Times New Roman" w:eastAsia="宋体" w:cs="Times New Roman"/>
          <w:b/>
          <w:bCs/>
          <w:kern w:val="2"/>
          <w:sz w:val="24"/>
          <w:szCs w:val="24"/>
          <w:lang w:val="en-US" w:eastAsia="zh-CN" w:bidi="ar-SA"/>
        </w:rPr>
        <w:t>★</w:t>
      </w:r>
      <w:r>
        <w:rPr>
          <w:rFonts w:ascii="Times New Roman" w:hAnsi="Times New Roman" w:eastAsia="宋体" w:cs="Times New Roman"/>
          <w:b/>
          <w:bCs/>
          <w:kern w:val="2"/>
          <w:sz w:val="24"/>
          <w:szCs w:val="24"/>
          <w:lang w:val="en-US" w:eastAsia="zh-CN" w:bidi="ar-SA"/>
        </w:rPr>
        <w:t>二、商务要求</w:t>
      </w:r>
      <w:r>
        <w:rPr>
          <w:rFonts w:hint="eastAsia" w:ascii="Arial" w:hAnsi="Arial" w:eastAsia="黑体" w:cs="Times New Roman"/>
          <w:b/>
          <w:bCs/>
          <w:kern w:val="2"/>
          <w:sz w:val="32"/>
          <w:szCs w:val="32"/>
          <w:lang w:val="en-US" w:eastAsia="zh-CN" w:bidi="ar-SA"/>
        </w:rPr>
        <w:t xml:space="preserve"> </w:t>
      </w:r>
    </w:p>
    <w:p w14:paraId="1824BDDE">
      <w:pPr>
        <w:snapToGrid w:val="0"/>
        <w:spacing w:line="360" w:lineRule="auto"/>
        <w:rPr>
          <w:rFonts w:ascii="Times New Roman" w:hAnsi="Times New Roman"/>
          <w:bCs/>
          <w:sz w:val="24"/>
        </w:rPr>
      </w:pPr>
      <w:r>
        <w:rPr>
          <w:rFonts w:hint="eastAsia" w:ascii="Times New Roman" w:hAnsi="Times New Roman"/>
          <w:bCs/>
          <w:sz w:val="24"/>
        </w:rPr>
        <w:t>1、交货期：合同签订之日起90天内完成安装调试并具备验收条件。</w:t>
      </w:r>
    </w:p>
    <w:p w14:paraId="4915927B">
      <w:pPr>
        <w:snapToGrid w:val="0"/>
        <w:spacing w:line="360" w:lineRule="auto"/>
        <w:rPr>
          <w:rFonts w:ascii="Times New Roman" w:hAnsi="Times New Roman"/>
          <w:bCs/>
          <w:sz w:val="24"/>
        </w:rPr>
      </w:pPr>
      <w:r>
        <w:rPr>
          <w:rFonts w:hint="eastAsia" w:ascii="Times New Roman" w:hAnsi="Times New Roman"/>
          <w:bCs/>
          <w:sz w:val="24"/>
        </w:rPr>
        <w:t>2、交货地点：</w:t>
      </w:r>
      <w:r>
        <w:rPr>
          <w:rFonts w:ascii="Times New Roman" w:hAnsi="Times New Roman"/>
          <w:bCs/>
          <w:sz w:val="24"/>
        </w:rPr>
        <w:t>西南交通大学九里校区原子级制造研究中心2楼</w:t>
      </w:r>
      <w:r>
        <w:rPr>
          <w:rFonts w:hint="eastAsia" w:ascii="Times New Roman" w:hAnsi="Times New Roman"/>
          <w:bCs/>
          <w:sz w:val="24"/>
        </w:rPr>
        <w:t>。</w:t>
      </w:r>
    </w:p>
    <w:p w14:paraId="705C53F7">
      <w:pPr>
        <w:snapToGrid w:val="0"/>
        <w:spacing w:line="360" w:lineRule="auto"/>
        <w:rPr>
          <w:rFonts w:ascii="Times New Roman" w:hAnsi="Times New Roman"/>
          <w:bCs/>
          <w:sz w:val="24"/>
        </w:rPr>
      </w:pPr>
      <w:r>
        <w:rPr>
          <w:rFonts w:hint="eastAsia" w:ascii="Times New Roman" w:hAnsi="Times New Roman"/>
          <w:bCs/>
          <w:sz w:val="24"/>
        </w:rPr>
        <w:t>3、付款方式：</w:t>
      </w:r>
    </w:p>
    <w:p w14:paraId="2FFADEA8">
      <w:pPr>
        <w:snapToGrid w:val="0"/>
        <w:spacing w:line="360" w:lineRule="auto"/>
        <w:rPr>
          <w:rFonts w:ascii="Times New Roman" w:hAnsi="Times New Roman"/>
          <w:bCs/>
          <w:sz w:val="24"/>
        </w:rPr>
      </w:pPr>
      <w:r>
        <w:rPr>
          <w:rFonts w:ascii="Times New Roman" w:hAnsi="Times New Roman"/>
          <w:bCs/>
          <w:sz w:val="24"/>
        </w:rPr>
        <w:t>3.1、分期付款</w:t>
      </w:r>
    </w:p>
    <w:p w14:paraId="22934722">
      <w:pPr>
        <w:snapToGrid w:val="0"/>
        <w:spacing w:line="360" w:lineRule="auto"/>
        <w:rPr>
          <w:rFonts w:ascii="Times New Roman" w:hAnsi="Times New Roman"/>
          <w:bCs/>
          <w:sz w:val="24"/>
        </w:rPr>
      </w:pPr>
      <w:r>
        <w:rPr>
          <w:rFonts w:ascii="Times New Roman" w:hAnsi="Times New Roman"/>
          <w:bCs/>
          <w:sz w:val="24"/>
        </w:rPr>
        <w:t>1.分期付款</w:t>
      </w:r>
    </w:p>
    <w:p w14:paraId="4DB68C7A">
      <w:pPr>
        <w:snapToGrid w:val="0"/>
        <w:spacing w:line="360" w:lineRule="auto"/>
        <w:rPr>
          <w:rFonts w:ascii="Times New Roman" w:hAnsi="Times New Roman"/>
          <w:bCs/>
          <w:sz w:val="24"/>
        </w:rPr>
      </w:pPr>
      <w:r>
        <w:rPr>
          <w:rFonts w:ascii="Times New Roman" w:hAnsi="Times New Roman"/>
          <w:bCs/>
          <w:sz w:val="24"/>
        </w:rPr>
        <w:t>第一期：合同生效且供应商提交履约保证金后，预付合同金额的</w:t>
      </w:r>
      <w:r>
        <w:rPr>
          <w:rFonts w:hint="eastAsia" w:ascii="Times New Roman" w:hAnsi="Times New Roman"/>
          <w:bCs/>
          <w:sz w:val="24"/>
        </w:rPr>
        <w:t>85</w:t>
      </w:r>
      <w:r>
        <w:rPr>
          <w:rFonts w:ascii="Times New Roman" w:hAnsi="Times New Roman"/>
          <w:bCs/>
          <w:sz w:val="24"/>
        </w:rPr>
        <w:t>%；</w:t>
      </w:r>
    </w:p>
    <w:p w14:paraId="407870BE">
      <w:pPr>
        <w:snapToGrid w:val="0"/>
        <w:spacing w:line="360" w:lineRule="auto"/>
        <w:rPr>
          <w:rFonts w:ascii="Times New Roman" w:hAnsi="Times New Roman"/>
          <w:bCs/>
          <w:sz w:val="24"/>
        </w:rPr>
      </w:pPr>
      <w:r>
        <w:rPr>
          <w:rFonts w:ascii="Times New Roman" w:hAnsi="Times New Roman"/>
          <w:bCs/>
          <w:sz w:val="24"/>
        </w:rPr>
        <w:t>第二期：项目验收合格后，支付合同金额的</w:t>
      </w:r>
      <w:r>
        <w:rPr>
          <w:rFonts w:hint="eastAsia" w:ascii="Times New Roman" w:hAnsi="Times New Roman"/>
          <w:bCs/>
          <w:sz w:val="24"/>
        </w:rPr>
        <w:t>15</w:t>
      </w:r>
      <w:r>
        <w:rPr>
          <w:rFonts w:ascii="Times New Roman" w:hAnsi="Times New Roman"/>
          <w:bCs/>
          <w:sz w:val="24"/>
        </w:rPr>
        <w:t>%。</w:t>
      </w:r>
    </w:p>
    <w:p w14:paraId="4CB226CA">
      <w:pPr>
        <w:snapToGrid w:val="0"/>
        <w:spacing w:line="360" w:lineRule="auto"/>
        <w:rPr>
          <w:rFonts w:ascii="Times New Roman" w:hAnsi="Times New Roman"/>
          <w:bCs/>
          <w:sz w:val="24"/>
        </w:rPr>
      </w:pPr>
      <w:r>
        <w:rPr>
          <w:rFonts w:ascii="Times New Roman" w:hAnsi="Times New Roman"/>
          <w:bCs/>
          <w:sz w:val="24"/>
        </w:rPr>
        <w:t>2.每次付款前，供应商应出具等额增值税专用发票，发票与合同的银行账户信息应保持一致。</w:t>
      </w:r>
    </w:p>
    <w:p w14:paraId="34A3FEEA">
      <w:pPr>
        <w:snapToGrid w:val="0"/>
        <w:spacing w:line="360" w:lineRule="auto"/>
        <w:rPr>
          <w:rFonts w:ascii="Times New Roman" w:hAnsi="Times New Roman"/>
          <w:bCs/>
          <w:sz w:val="24"/>
        </w:rPr>
      </w:pPr>
      <w:r>
        <w:rPr>
          <w:rFonts w:hint="eastAsia" w:ascii="Times New Roman" w:hAnsi="Times New Roman"/>
          <w:bCs/>
          <w:sz w:val="24"/>
        </w:rPr>
        <w:t>4、验收方法和标准：</w:t>
      </w:r>
    </w:p>
    <w:p w14:paraId="59DB3F9B">
      <w:pPr>
        <w:snapToGrid w:val="0"/>
        <w:spacing w:line="360" w:lineRule="auto"/>
        <w:rPr>
          <w:rFonts w:ascii="Times New Roman" w:hAnsi="Times New Roman"/>
          <w:bCs/>
          <w:sz w:val="24"/>
        </w:rPr>
      </w:pPr>
      <w:r>
        <w:rPr>
          <w:rFonts w:hint="eastAsia" w:ascii="Times New Roman" w:hAnsi="Times New Roman"/>
          <w:bCs/>
          <w:sz w:val="24"/>
        </w:rPr>
        <w:t>4.1货物到达现场后，供应商应在采购人在场情况下当面开包，共同清点、检查外观，作出验货记录，双方签字确认后开始安装调试。</w:t>
      </w:r>
    </w:p>
    <w:p w14:paraId="34B32C94">
      <w:pPr>
        <w:snapToGrid w:val="0"/>
        <w:spacing w:line="360" w:lineRule="auto"/>
        <w:rPr>
          <w:rFonts w:ascii="Times New Roman" w:hAnsi="Times New Roman"/>
          <w:bCs/>
          <w:sz w:val="24"/>
        </w:rPr>
      </w:pPr>
      <w:r>
        <w:rPr>
          <w:rFonts w:hint="eastAsia" w:ascii="Times New Roman" w:hAnsi="Times New Roman"/>
          <w:bCs/>
          <w:sz w:val="24"/>
        </w:rPr>
        <w:t>4.2中标供应商应保证货物到达采购人所在地完好无损，如有缺漏、损坏，由供应商负责调换、补齐或赔偿。</w:t>
      </w:r>
    </w:p>
    <w:p w14:paraId="63F428D2">
      <w:pPr>
        <w:snapToGrid w:val="0"/>
        <w:spacing w:line="360" w:lineRule="auto"/>
        <w:rPr>
          <w:rFonts w:ascii="Times New Roman" w:hAnsi="Times New Roman"/>
          <w:bCs/>
          <w:sz w:val="24"/>
        </w:rPr>
      </w:pPr>
      <w:r>
        <w:rPr>
          <w:rFonts w:hint="eastAsia" w:ascii="Times New Roman" w:hAnsi="Times New Roman"/>
          <w:bCs/>
          <w:sz w:val="24"/>
        </w:rPr>
        <w:t>4.3中标供应商应提供完备的技术资料、装箱单、授权文件或生产厂商提供的原厂正品出货证明材料（非装箱清单组成材料）等，并派遣专业技术人员进行现场部署调试。验收合格条件如下：</w:t>
      </w:r>
    </w:p>
    <w:p w14:paraId="7B993C83">
      <w:pPr>
        <w:snapToGrid w:val="0"/>
        <w:spacing w:line="360" w:lineRule="auto"/>
        <w:rPr>
          <w:rFonts w:ascii="Times New Roman" w:hAnsi="Times New Roman"/>
          <w:bCs/>
          <w:sz w:val="24"/>
        </w:rPr>
      </w:pPr>
      <w:r>
        <w:rPr>
          <w:rFonts w:hint="eastAsia" w:ascii="Times New Roman" w:hAnsi="Times New Roman"/>
          <w:bCs/>
          <w:sz w:val="24"/>
        </w:rPr>
        <w:t>(一)产品技术参数与采购合同一致，性能指标达到规定的标准；</w:t>
      </w:r>
    </w:p>
    <w:p w14:paraId="20F7B4C0">
      <w:pPr>
        <w:snapToGrid w:val="0"/>
        <w:spacing w:line="360" w:lineRule="auto"/>
        <w:rPr>
          <w:rFonts w:ascii="Times New Roman" w:hAnsi="Times New Roman"/>
          <w:bCs/>
          <w:sz w:val="24"/>
        </w:rPr>
      </w:pPr>
      <w:r>
        <w:rPr>
          <w:rFonts w:hint="eastAsia" w:ascii="Times New Roman" w:hAnsi="Times New Roman"/>
          <w:bCs/>
          <w:sz w:val="24"/>
        </w:rPr>
        <w:t>(二)产品技术资料、装箱单、授权文件或生产厂商提供的原厂正品出货证明材料等资料齐全；</w:t>
      </w:r>
    </w:p>
    <w:p w14:paraId="6E43350B">
      <w:pPr>
        <w:snapToGrid w:val="0"/>
        <w:spacing w:line="360" w:lineRule="auto"/>
        <w:rPr>
          <w:rFonts w:ascii="Times New Roman" w:hAnsi="Times New Roman"/>
          <w:bCs/>
          <w:sz w:val="24"/>
        </w:rPr>
      </w:pPr>
      <w:r>
        <w:rPr>
          <w:rFonts w:hint="eastAsia" w:ascii="Times New Roman" w:hAnsi="Times New Roman"/>
          <w:bCs/>
          <w:sz w:val="24"/>
        </w:rPr>
        <w:t>(三)在产品（系统）试运行期间所出现的问题得到解决，并运行正常；</w:t>
      </w:r>
    </w:p>
    <w:p w14:paraId="7EDC72F3">
      <w:pPr>
        <w:snapToGrid w:val="0"/>
        <w:spacing w:line="360" w:lineRule="auto"/>
        <w:rPr>
          <w:rFonts w:ascii="Times New Roman" w:hAnsi="Times New Roman"/>
          <w:bCs/>
          <w:sz w:val="24"/>
        </w:rPr>
      </w:pPr>
      <w:r>
        <w:rPr>
          <w:rFonts w:hint="eastAsia" w:ascii="Times New Roman" w:hAnsi="Times New Roman"/>
          <w:bCs/>
          <w:sz w:val="24"/>
        </w:rPr>
        <w:t>(四)在规定时间内完成交货并验收，并经采购人确认。</w:t>
      </w:r>
    </w:p>
    <w:p w14:paraId="401E7CE9">
      <w:pPr>
        <w:snapToGrid w:val="0"/>
        <w:spacing w:line="360" w:lineRule="auto"/>
        <w:rPr>
          <w:rFonts w:ascii="Times New Roman" w:hAnsi="Times New Roman"/>
          <w:bCs/>
          <w:sz w:val="24"/>
        </w:rPr>
      </w:pPr>
      <w:r>
        <w:rPr>
          <w:rFonts w:hint="eastAsia" w:ascii="Times New Roman" w:hAnsi="Times New Roman"/>
          <w:bCs/>
          <w:sz w:val="24"/>
        </w:rPr>
        <w:t>4.4产品在部署调试并试运行符合要求后，才作为最终验收。</w:t>
      </w:r>
    </w:p>
    <w:p w14:paraId="1EE368AE">
      <w:pPr>
        <w:snapToGrid w:val="0"/>
        <w:spacing w:line="360" w:lineRule="auto"/>
        <w:rPr>
          <w:rFonts w:ascii="Times New Roman" w:hAnsi="Times New Roman"/>
          <w:bCs/>
          <w:sz w:val="24"/>
        </w:rPr>
      </w:pPr>
      <w:r>
        <w:rPr>
          <w:rFonts w:hint="eastAsia" w:ascii="Times New Roman" w:hAnsi="Times New Roman"/>
          <w:bCs/>
          <w:sz w:val="24"/>
        </w:rPr>
        <w:t>4.5采购人对供应商交付的产品（包括质量、技术参数等）进行确认，并出具书面验收意见。</w:t>
      </w:r>
    </w:p>
    <w:p w14:paraId="49279D7B">
      <w:pPr>
        <w:snapToGrid w:val="0"/>
        <w:spacing w:line="360" w:lineRule="auto"/>
        <w:rPr>
          <w:rFonts w:ascii="Times New Roman" w:hAnsi="Times New Roman"/>
          <w:bCs/>
          <w:sz w:val="24"/>
        </w:rPr>
      </w:pPr>
      <w:r>
        <w:rPr>
          <w:rFonts w:hint="eastAsia" w:ascii="Times New Roman" w:hAnsi="Times New Roman"/>
          <w:bCs/>
          <w:sz w:val="24"/>
        </w:rPr>
        <w:t>5、技术文件：应提供全套、完整的书面技术资料，包括仪器说明书、操作手册、简单维修说明等。</w:t>
      </w:r>
    </w:p>
    <w:p w14:paraId="51538FD3">
      <w:pPr>
        <w:snapToGrid w:val="0"/>
        <w:spacing w:line="360" w:lineRule="auto"/>
        <w:rPr>
          <w:rFonts w:ascii="Times New Roman" w:hAnsi="Times New Roman"/>
          <w:bCs/>
          <w:sz w:val="24"/>
        </w:rPr>
      </w:pPr>
      <w:r>
        <w:rPr>
          <w:rFonts w:hint="eastAsia" w:ascii="Times New Roman" w:hAnsi="Times New Roman"/>
          <w:bCs/>
          <w:sz w:val="24"/>
        </w:rPr>
        <w:t>6、</w:t>
      </w:r>
      <w:r>
        <w:rPr>
          <w:rFonts w:ascii="Times New Roman" w:hAnsi="Times New Roman"/>
          <w:bCs/>
          <w:sz w:val="24"/>
        </w:rPr>
        <w:t>设备安装、调试和验收</w:t>
      </w:r>
      <w:r>
        <w:rPr>
          <w:rFonts w:hint="eastAsia" w:ascii="Times New Roman" w:hAnsi="Times New Roman"/>
          <w:bCs/>
          <w:sz w:val="24"/>
        </w:rPr>
        <w:t>：</w:t>
      </w:r>
      <w:r>
        <w:rPr>
          <w:rFonts w:ascii="Times New Roman" w:hAnsi="Times New Roman"/>
          <w:bCs/>
          <w:sz w:val="24"/>
        </w:rPr>
        <w:t>投标人</w:t>
      </w:r>
      <w:r>
        <w:rPr>
          <w:rFonts w:hint="eastAsia" w:ascii="Times New Roman" w:hAnsi="Times New Roman"/>
          <w:bCs/>
          <w:sz w:val="24"/>
        </w:rPr>
        <w:t>承诺在合同生效后应向采购人提供详细的安装要求并提供技术咨询；在仪器设备到达前，供应商应通知用户水、电、气及其他仪器等必备辅助设施的具体要求，从而让采购人提前做好仪器安装准备。仪器到达用户所在地，在接到用户通知后一周内进行安装调试，直至通过验收。</w:t>
      </w:r>
    </w:p>
    <w:p w14:paraId="4D488266">
      <w:pPr>
        <w:snapToGrid w:val="0"/>
        <w:spacing w:line="360" w:lineRule="auto"/>
        <w:rPr>
          <w:rFonts w:ascii="Times New Roman" w:hAnsi="Times New Roman"/>
          <w:bCs/>
          <w:sz w:val="24"/>
        </w:rPr>
      </w:pPr>
      <w:r>
        <w:rPr>
          <w:rFonts w:hint="eastAsia" w:ascii="Times New Roman" w:hAnsi="Times New Roman"/>
          <w:bCs/>
          <w:sz w:val="24"/>
        </w:rPr>
        <w:t>7、技术培训：</w:t>
      </w:r>
      <w:r>
        <w:rPr>
          <w:rFonts w:ascii="Times New Roman" w:hAnsi="Times New Roman"/>
          <w:bCs/>
          <w:sz w:val="24"/>
        </w:rPr>
        <w:t>投标人针对本项目在用户所在地对仪器使用者</w:t>
      </w:r>
      <w:r>
        <w:rPr>
          <w:rFonts w:hint="eastAsia" w:ascii="Times New Roman" w:hAnsi="Times New Roman"/>
          <w:bCs/>
          <w:sz w:val="24"/>
        </w:rPr>
        <w:t>2-3</w:t>
      </w:r>
      <w:r>
        <w:rPr>
          <w:rFonts w:ascii="Times New Roman" w:hAnsi="Times New Roman"/>
          <w:bCs/>
          <w:sz w:val="24"/>
        </w:rPr>
        <w:t>人进行仪器操作和维护进行培训，内容包括：包括仪器的技术原理、操作、数据处理、基本维护，使被培训人员达到能够熟练使用。培训所涉及的场地、交通与培训相关的费用均</w:t>
      </w:r>
      <w:r>
        <w:rPr>
          <w:rFonts w:hint="eastAsia" w:ascii="Times New Roman" w:hAnsi="Times New Roman"/>
          <w:bCs/>
          <w:sz w:val="24"/>
        </w:rPr>
        <w:t>包含在本次投标报价中。</w:t>
      </w:r>
    </w:p>
    <w:p w14:paraId="58D27384">
      <w:pPr>
        <w:snapToGrid w:val="0"/>
        <w:spacing w:line="360" w:lineRule="auto"/>
        <w:rPr>
          <w:rFonts w:ascii="Times New Roman" w:hAnsi="Times New Roman"/>
          <w:bCs/>
          <w:sz w:val="24"/>
        </w:rPr>
      </w:pPr>
      <w:r>
        <w:rPr>
          <w:rFonts w:hint="eastAsia" w:ascii="Times New Roman" w:hAnsi="Times New Roman"/>
          <w:bCs/>
          <w:sz w:val="24"/>
        </w:rPr>
        <w:t>8、售后服务：</w:t>
      </w:r>
    </w:p>
    <w:p w14:paraId="5B3B7A1C">
      <w:pPr>
        <w:snapToGrid w:val="0"/>
        <w:spacing w:line="360" w:lineRule="auto"/>
        <w:rPr>
          <w:rFonts w:ascii="Times New Roman" w:hAnsi="Times New Roman"/>
          <w:bCs/>
          <w:sz w:val="24"/>
        </w:rPr>
      </w:pPr>
      <w:r>
        <w:rPr>
          <w:rFonts w:hint="eastAsia" w:ascii="Times New Roman" w:hAnsi="Times New Roman"/>
          <w:bCs/>
          <w:sz w:val="24"/>
        </w:rPr>
        <w:t>8.1投标人承诺所有软、硬件不少于一年保修（自验收合格之日起计算）。在保修期内，</w:t>
      </w:r>
      <w:r>
        <w:rPr>
          <w:rFonts w:ascii="Times New Roman" w:hAnsi="Times New Roman"/>
          <w:bCs/>
          <w:sz w:val="24"/>
        </w:rPr>
        <w:t>产生的一切维修费用均由中标人承担</w:t>
      </w:r>
      <w:r>
        <w:rPr>
          <w:rFonts w:hint="eastAsia" w:ascii="Times New Roman" w:hAnsi="Times New Roman"/>
          <w:bCs/>
          <w:sz w:val="24"/>
        </w:rPr>
        <w:t>，且包含在本次投标报价中。如果本次采购的软、硬件发生故障，在接到采购人通知后须在1小时内提供技术响应。如采购人需要，中标供应商应在3小时之内安排技术人员到达现场，12小时内排除故障，负责调查故障原因并实施更换、修复等工作直至故障解决。当设备发生故障且12小时内无法修复时，在1天内提供备机服务，直至故障解决。</w:t>
      </w:r>
    </w:p>
    <w:p w14:paraId="5C281F3D">
      <w:pPr>
        <w:snapToGrid w:val="0"/>
        <w:spacing w:line="360" w:lineRule="auto"/>
        <w:rPr>
          <w:rFonts w:ascii="Times New Roman" w:hAnsi="Times New Roman"/>
          <w:bCs/>
          <w:sz w:val="24"/>
        </w:rPr>
      </w:pPr>
      <w:r>
        <w:rPr>
          <w:rFonts w:hint="eastAsia" w:ascii="Times New Roman" w:hAnsi="Times New Roman"/>
          <w:bCs/>
          <w:sz w:val="24"/>
        </w:rPr>
        <w:t>8.2投标人承诺所有硬件过一年保修期后按维修市场价的50%收取维修费、所有软件过一年保修升级期后按合同价格的10%进行维修升级，响应速度同保修期响应速度。</w:t>
      </w:r>
    </w:p>
    <w:p w14:paraId="7BDAA4FD">
      <w:pPr>
        <w:snapToGrid w:val="0"/>
        <w:spacing w:line="360" w:lineRule="auto"/>
        <w:rPr>
          <w:rFonts w:hint="eastAsia" w:ascii="Times New Roman" w:hAnsi="Times New Roman"/>
          <w:bCs/>
          <w:sz w:val="24"/>
        </w:rPr>
      </w:pPr>
      <w:r>
        <w:rPr>
          <w:rFonts w:hint="eastAsia" w:ascii="Times New Roman" w:hAnsi="Times New Roman"/>
          <w:bCs/>
          <w:sz w:val="24"/>
        </w:rPr>
        <w:t>8.3投标人</w:t>
      </w:r>
      <w:r>
        <w:rPr>
          <w:rFonts w:ascii="Times New Roman" w:hAnsi="Times New Roman"/>
          <w:bCs/>
          <w:sz w:val="24"/>
        </w:rPr>
        <w:t>承诺中标后提供多光路耦合超快光学原子级加工装备原厂商售后服务承诺函</w:t>
      </w:r>
      <w:r>
        <w:rPr>
          <w:rFonts w:hint="eastAsia" w:ascii="Times New Roman" w:hAnsi="Times New Roman"/>
          <w:bCs/>
          <w:sz w:val="24"/>
        </w:rPr>
        <w:t>并</w:t>
      </w:r>
      <w:r>
        <w:rPr>
          <w:rFonts w:ascii="Times New Roman" w:hAnsi="Times New Roman"/>
          <w:bCs/>
          <w:sz w:val="24"/>
        </w:rPr>
        <w:t>加盖原厂公章，原厂售后服务承诺函包括</w:t>
      </w:r>
      <w:r>
        <w:rPr>
          <w:rFonts w:hint="eastAsia" w:ascii="Times New Roman" w:hAnsi="Times New Roman"/>
          <w:bCs/>
          <w:sz w:val="24"/>
        </w:rPr>
        <w:t>但不限于</w:t>
      </w:r>
      <w:r>
        <w:rPr>
          <w:rFonts w:ascii="Times New Roman" w:hAnsi="Times New Roman"/>
          <w:bCs/>
          <w:sz w:val="24"/>
        </w:rPr>
        <w:t>以下服务内容：不少于一年保修、备品备件、原厂工程师技术支持服务。</w:t>
      </w:r>
    </w:p>
    <w:p w14:paraId="75381659">
      <w:pPr>
        <w:snapToGrid w:val="0"/>
        <w:spacing w:line="360" w:lineRule="auto"/>
        <w:rPr>
          <w:rFonts w:ascii="Times New Roman" w:hAnsi="Times New Roman"/>
          <w:bCs/>
          <w:sz w:val="24"/>
        </w:rPr>
      </w:pPr>
      <w:r>
        <w:rPr>
          <w:rFonts w:hint="eastAsia" w:ascii="Times New Roman" w:hAnsi="Times New Roman"/>
          <w:bCs/>
          <w:sz w:val="24"/>
        </w:rPr>
        <w:t>8.4</w:t>
      </w:r>
      <w:r>
        <w:rPr>
          <w:rFonts w:ascii="Times New Roman" w:hAnsi="Times New Roman"/>
          <w:bCs/>
          <w:sz w:val="24"/>
        </w:rPr>
        <w:t>备品备件</w:t>
      </w:r>
      <w:r>
        <w:rPr>
          <w:rFonts w:hint="eastAsia" w:ascii="Times New Roman" w:hAnsi="Times New Roman"/>
          <w:bCs/>
          <w:sz w:val="24"/>
        </w:rPr>
        <w:t>：</w:t>
      </w:r>
      <w:r>
        <w:rPr>
          <w:rFonts w:ascii="Times New Roman" w:hAnsi="Times New Roman"/>
          <w:bCs/>
          <w:sz w:val="24"/>
        </w:rPr>
        <w:t>投标人所投全部产品的各种部件、备品备件均保证齐备、充足供应</w:t>
      </w:r>
      <w:r>
        <w:rPr>
          <w:rFonts w:hint="eastAsia" w:ascii="Times New Roman" w:hAnsi="Times New Roman"/>
          <w:bCs/>
          <w:sz w:val="24"/>
        </w:rPr>
        <w:t>。（投标时需提供备品备件清单）。</w:t>
      </w:r>
      <w:r>
        <w:rPr>
          <w:rFonts w:ascii="Times New Roman" w:hAnsi="Times New Roman"/>
          <w:bCs/>
          <w:sz w:val="24"/>
        </w:rPr>
        <w:t>若因产品升级更新原因不能保障供应造成采购人损失的，中标人承担全部赔偿责任，中标人在交货时需向采购人提供货物常规备品备件。</w:t>
      </w:r>
      <w:bookmarkStart w:id="4" w:name="OLE_LINK9"/>
    </w:p>
    <w:p w14:paraId="566AB534">
      <w:pPr>
        <w:snapToGrid w:val="0"/>
        <w:spacing w:line="360" w:lineRule="auto"/>
        <w:rPr>
          <w:rFonts w:ascii="Times New Roman" w:hAnsi="Times New Roman"/>
          <w:bCs/>
          <w:sz w:val="24"/>
        </w:rPr>
      </w:pPr>
      <w:r>
        <w:rPr>
          <w:rFonts w:hint="eastAsia" w:ascii="Times New Roman" w:hAnsi="Times New Roman"/>
          <w:bCs/>
          <w:sz w:val="24"/>
        </w:rPr>
        <w:t>8.5</w:t>
      </w:r>
      <w:r>
        <w:rPr>
          <w:rFonts w:ascii="Times New Roman" w:hAnsi="Times New Roman"/>
          <w:bCs/>
          <w:sz w:val="24"/>
        </w:rPr>
        <w:t>为保障本项目的顺利进行及仪器设备的正常运行，投标人须为本项目配置不少于</w:t>
      </w:r>
      <w:r>
        <w:rPr>
          <w:rFonts w:hint="eastAsia" w:ascii="Times New Roman" w:hAnsi="Times New Roman"/>
          <w:bCs/>
          <w:sz w:val="24"/>
        </w:rPr>
        <w:t>5</w:t>
      </w:r>
      <w:r>
        <w:rPr>
          <w:rFonts w:ascii="Times New Roman" w:hAnsi="Times New Roman"/>
          <w:bCs/>
          <w:sz w:val="24"/>
        </w:rPr>
        <w:t>人的服务团队【包含项目经理</w:t>
      </w:r>
      <w:r>
        <w:rPr>
          <w:rFonts w:hint="eastAsia" w:ascii="Times New Roman" w:hAnsi="Times New Roman"/>
          <w:bCs/>
          <w:sz w:val="24"/>
        </w:rPr>
        <w:t>1</w:t>
      </w:r>
      <w:r>
        <w:rPr>
          <w:rFonts w:ascii="Times New Roman" w:hAnsi="Times New Roman"/>
          <w:bCs/>
          <w:sz w:val="24"/>
        </w:rPr>
        <w:t>名、技术人员</w:t>
      </w:r>
      <w:r>
        <w:rPr>
          <w:rFonts w:hint="eastAsia" w:ascii="Times New Roman" w:hAnsi="Times New Roman"/>
          <w:bCs/>
          <w:sz w:val="24"/>
        </w:rPr>
        <w:t>2</w:t>
      </w:r>
      <w:r>
        <w:rPr>
          <w:rFonts w:ascii="Times New Roman" w:hAnsi="Times New Roman"/>
          <w:bCs/>
          <w:sz w:val="24"/>
        </w:rPr>
        <w:t>名、驻场人员2名】</w:t>
      </w:r>
    </w:p>
    <w:bookmarkEnd w:id="4"/>
    <w:p w14:paraId="28DF8D19">
      <w:pPr>
        <w:numPr>
          <w:ilvl w:val="0"/>
          <w:numId w:val="2"/>
        </w:numPr>
        <w:snapToGrid w:val="0"/>
        <w:spacing w:line="360" w:lineRule="auto"/>
        <w:rPr>
          <w:rFonts w:hint="eastAsia" w:ascii="Times New Roman" w:hAnsi="Times New Roman"/>
          <w:bCs/>
          <w:sz w:val="24"/>
        </w:rPr>
      </w:pPr>
      <w:r>
        <w:rPr>
          <w:rFonts w:hint="eastAsia" w:ascii="Times New Roman" w:hAnsi="Times New Roman"/>
          <w:bCs/>
          <w:sz w:val="24"/>
        </w:rPr>
        <w:t>产品交付要求：交付产品的外观及颜色、标识应按图纸及技术文件要求进行，包装箱不得标识涉密信息，并附产品清单一份。本项目采购产品涉及包装的，应符合《商品包装政府采购需求标准（试行）》、《快递包装政府采购需求标准（试行）》的要求。</w:t>
      </w:r>
    </w:p>
    <w:p w14:paraId="5A5E39C8">
      <w:pPr>
        <w:numPr>
          <w:ilvl w:val="0"/>
          <w:numId w:val="2"/>
        </w:numPr>
        <w:snapToGrid w:val="0"/>
        <w:spacing w:line="360" w:lineRule="auto"/>
        <w:rPr>
          <w:rFonts w:hint="eastAsia" w:ascii="Times New Roman" w:hAnsi="Times New Roman"/>
          <w:bCs/>
          <w:sz w:val="24"/>
        </w:rPr>
      </w:pPr>
      <w:r>
        <w:rPr>
          <w:rFonts w:ascii="宋体" w:hAnsi="宋体" w:cs="宋体"/>
          <w:sz w:val="24"/>
        </w:rPr>
        <w:t>非特定美国企业生产产品：根据《关于在政府采购活动中对有关美国企业采取相关措施的通知》（财库〔2026〕10号）规定，供应商不得提供该通知中所列46家美国企业（不包括在华美资企业）生产的产品，否则投标无效。</w:t>
      </w:r>
    </w:p>
    <w:p w14:paraId="58DE5AB2">
      <w:pPr>
        <w:keepNext/>
        <w:keepLines/>
        <w:widowControl w:val="0"/>
        <w:spacing w:before="260" w:after="260" w:line="400" w:lineRule="exact"/>
        <w:jc w:val="both"/>
        <w:outlineLvl w:val="1"/>
        <w:rPr>
          <w:rFonts w:ascii="Times New Roman" w:hAnsi="Times New Roman" w:eastAsia="宋体" w:cs="Times New Roman"/>
          <w:b/>
          <w:bCs/>
          <w:kern w:val="2"/>
          <w:sz w:val="24"/>
          <w:szCs w:val="24"/>
          <w:lang w:val="en-US" w:eastAsia="zh-CN" w:bidi="ar-SA"/>
        </w:rPr>
      </w:pPr>
      <w:bookmarkStart w:id="5" w:name="OLE_LINK7"/>
      <w:r>
        <w:rPr>
          <w:rFonts w:ascii="Times New Roman" w:hAnsi="Times New Roman" w:eastAsia="宋体" w:cs="Times New Roman"/>
          <w:b/>
          <w:bCs/>
          <w:kern w:val="2"/>
          <w:sz w:val="24"/>
          <w:szCs w:val="24"/>
          <w:lang w:val="en-US" w:eastAsia="zh-CN" w:bidi="ar-SA"/>
        </w:rPr>
        <w:t>三、技术服务、参数要求</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302"/>
        <w:gridCol w:w="6455"/>
      </w:tblGrid>
      <w:tr w14:paraId="5704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9" w:type="pct"/>
            <w:noWrap w:val="0"/>
            <w:vAlign w:val="center"/>
          </w:tcPr>
          <w:p w14:paraId="507C2AE6">
            <w:pPr>
              <w:spacing w:before="156" w:beforeLines="50" w:after="156" w:afterLines="50" w:line="276" w:lineRule="auto"/>
              <w:jc w:val="center"/>
              <w:rPr>
                <w:rFonts w:hint="eastAsia" w:ascii="宋体" w:hAnsi="宋体"/>
                <w:b/>
                <w:color w:val="000000"/>
                <w:sz w:val="24"/>
              </w:rPr>
            </w:pPr>
            <w:bookmarkStart w:id="6" w:name="_Hlk228196408"/>
            <w:r>
              <w:rPr>
                <w:rFonts w:ascii="宋体" w:hAnsi="宋体"/>
                <w:b/>
                <w:color w:val="000000"/>
                <w:sz w:val="24"/>
              </w:rPr>
              <w:t>序号</w:t>
            </w:r>
          </w:p>
        </w:tc>
        <w:tc>
          <w:tcPr>
            <w:tcW w:w="764" w:type="pct"/>
            <w:noWrap w:val="0"/>
            <w:vAlign w:val="center"/>
          </w:tcPr>
          <w:p w14:paraId="37E8A665">
            <w:pPr>
              <w:spacing w:before="156" w:beforeLines="50" w:after="156" w:afterLines="50" w:line="276" w:lineRule="auto"/>
              <w:jc w:val="center"/>
              <w:rPr>
                <w:rFonts w:hint="eastAsia" w:ascii="宋体" w:hAnsi="宋体"/>
                <w:b/>
                <w:color w:val="000000"/>
                <w:sz w:val="24"/>
              </w:rPr>
            </w:pPr>
            <w:r>
              <w:rPr>
                <w:rFonts w:hint="eastAsia" w:ascii="宋体" w:hAnsi="宋体"/>
                <w:b/>
                <w:color w:val="000000"/>
                <w:sz w:val="24"/>
              </w:rPr>
              <w:t>标的</w:t>
            </w:r>
            <w:r>
              <w:rPr>
                <w:rFonts w:ascii="宋体" w:hAnsi="宋体"/>
                <w:b/>
                <w:color w:val="000000"/>
                <w:sz w:val="24"/>
              </w:rPr>
              <w:t>名称</w:t>
            </w:r>
          </w:p>
        </w:tc>
        <w:tc>
          <w:tcPr>
            <w:tcW w:w="3787" w:type="pct"/>
            <w:noWrap w:val="0"/>
            <w:vAlign w:val="center"/>
          </w:tcPr>
          <w:p w14:paraId="539EB326">
            <w:pPr>
              <w:spacing w:before="156" w:beforeLines="50" w:after="156" w:afterLines="50" w:line="276" w:lineRule="auto"/>
              <w:jc w:val="center"/>
              <w:rPr>
                <w:rFonts w:hint="eastAsia" w:ascii="宋体" w:hAnsi="宋体"/>
                <w:b/>
                <w:color w:val="000000"/>
                <w:sz w:val="24"/>
              </w:rPr>
            </w:pPr>
            <w:r>
              <w:rPr>
                <w:rFonts w:ascii="宋体" w:hAnsi="宋体"/>
                <w:b/>
                <w:color w:val="000000"/>
                <w:sz w:val="24"/>
              </w:rPr>
              <w:t>详细技术指标及功能需求</w:t>
            </w:r>
          </w:p>
        </w:tc>
      </w:tr>
      <w:tr w14:paraId="51C9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449" w:type="pct"/>
            <w:noWrap w:val="0"/>
            <w:vAlign w:val="center"/>
          </w:tcPr>
          <w:p w14:paraId="03ABDB19">
            <w:pPr>
              <w:spacing w:after="0" w:line="276" w:lineRule="auto"/>
              <w:jc w:val="center"/>
              <w:rPr>
                <w:rFonts w:hint="eastAsia" w:ascii="宋体" w:hAnsi="宋体"/>
                <w:bCs/>
                <w:color w:val="000000"/>
                <w:sz w:val="24"/>
              </w:rPr>
            </w:pPr>
            <w:r>
              <w:rPr>
                <w:rFonts w:hint="eastAsia" w:ascii="宋体" w:hAnsi="宋体"/>
                <w:bCs/>
                <w:color w:val="000000"/>
                <w:sz w:val="24"/>
              </w:rPr>
              <w:t>1</w:t>
            </w:r>
          </w:p>
        </w:tc>
        <w:tc>
          <w:tcPr>
            <w:tcW w:w="764" w:type="pct"/>
            <w:noWrap w:val="0"/>
            <w:vAlign w:val="center"/>
          </w:tcPr>
          <w:p w14:paraId="74FCBB51">
            <w:pPr>
              <w:spacing w:after="0" w:line="276" w:lineRule="auto"/>
              <w:jc w:val="center"/>
              <w:rPr>
                <w:rFonts w:hint="eastAsia" w:ascii="宋体" w:hAnsi="宋体"/>
                <w:bCs/>
                <w:color w:val="000000"/>
                <w:sz w:val="24"/>
              </w:rPr>
            </w:pPr>
            <w:r>
              <w:rPr>
                <w:rFonts w:ascii="宋体" w:hAnsi="宋体"/>
                <w:bCs/>
                <w:color w:val="000000"/>
                <w:sz w:val="24"/>
              </w:rPr>
              <w:t>多光路耦合超快光学原子级加工装备</w:t>
            </w:r>
          </w:p>
        </w:tc>
        <w:tc>
          <w:tcPr>
            <w:tcW w:w="3787" w:type="pct"/>
            <w:noWrap w:val="0"/>
            <w:vAlign w:val="center"/>
          </w:tcPr>
          <w:p w14:paraId="59D0EFAD">
            <w:pPr>
              <w:widowControl/>
              <w:jc w:val="left"/>
              <w:rPr>
                <w:rFonts w:ascii="宋体" w:hAnsi="宋体"/>
                <w:b/>
                <w:bCs/>
                <w:color w:val="000000"/>
                <w:sz w:val="24"/>
              </w:rPr>
            </w:pPr>
            <w:bookmarkStart w:id="7" w:name="OLE_LINK8"/>
            <w:bookmarkStart w:id="8" w:name="OLE_LINK86"/>
            <w:r>
              <w:rPr>
                <w:rFonts w:hint="eastAsia" w:ascii="宋体" w:hAnsi="宋体"/>
                <w:b/>
                <w:bCs/>
                <w:color w:val="000000"/>
                <w:sz w:val="24"/>
              </w:rPr>
              <w:t>一、飞秒激光部分</w:t>
            </w:r>
          </w:p>
          <w:bookmarkEnd w:id="7"/>
          <w:p w14:paraId="1D86FC48">
            <w:pPr>
              <w:widowControl/>
              <w:jc w:val="left"/>
              <w:rPr>
                <w:rFonts w:ascii="宋体" w:hAnsi="宋体"/>
                <w:color w:val="000000"/>
                <w:sz w:val="24"/>
              </w:rPr>
            </w:pPr>
            <w:r>
              <w:rPr>
                <w:rFonts w:hint="eastAsia" w:ascii="宋体" w:hAnsi="宋体"/>
                <w:color w:val="000000"/>
                <w:sz w:val="24"/>
              </w:rPr>
              <w:t>★（1）飞秒激光器基频输出脉冲宽度＜240fs；绿光倍频输出脉冲宽度＜290fs；紫外倍频输出脉冲宽度＜290 fs；</w:t>
            </w:r>
          </w:p>
          <w:p w14:paraId="38E6B8A4">
            <w:pPr>
              <w:widowControl/>
              <w:jc w:val="left"/>
              <w:rPr>
                <w:rFonts w:ascii="宋体" w:hAnsi="宋体"/>
                <w:color w:val="000000"/>
                <w:sz w:val="24"/>
              </w:rPr>
            </w:pPr>
            <w:r>
              <w:rPr>
                <w:rFonts w:hint="eastAsia" w:ascii="宋体" w:hAnsi="宋体"/>
                <w:color w:val="000000"/>
                <w:sz w:val="24"/>
              </w:rPr>
              <w:t>★（2）</w:t>
            </w:r>
            <w:bookmarkStart w:id="9" w:name="OLE_LINK71"/>
            <w:r>
              <w:rPr>
                <w:rFonts w:hint="eastAsia" w:ascii="宋体" w:hAnsi="宋体"/>
                <w:color w:val="000000"/>
                <w:sz w:val="24"/>
              </w:rPr>
              <w:t>飞秒激光器基频、绿光倍频及紫外倍频输出的光束质量因子均应满足M²≤1.2</w:t>
            </w:r>
            <w:bookmarkEnd w:id="9"/>
            <w:r>
              <w:rPr>
                <w:rFonts w:hint="eastAsia" w:ascii="宋体" w:hAnsi="宋体"/>
                <w:color w:val="000000"/>
                <w:sz w:val="24"/>
              </w:rPr>
              <w:t>；</w:t>
            </w:r>
          </w:p>
          <w:p w14:paraId="262F94F0">
            <w:pPr>
              <w:widowControl/>
              <w:jc w:val="left"/>
              <w:rPr>
                <w:rFonts w:ascii="宋体" w:hAnsi="宋体"/>
                <w:color w:val="000000"/>
                <w:sz w:val="24"/>
              </w:rPr>
            </w:pPr>
            <w:r>
              <w:rPr>
                <w:rFonts w:hint="eastAsia" w:ascii="宋体" w:hAnsi="宋体"/>
                <w:color w:val="000000"/>
                <w:sz w:val="24"/>
              </w:rPr>
              <w:t>★（3）系统应具备红外、绿光和紫外三波段输出及自动切换功能，对应中心波长分别为1030nm、515nm和343nm。各波段的平均输出功率应满足：红外飞秒输出功率≥60W，绿光飞秒输出功率≥30W，紫外飞秒输出功率≥15W；</w:t>
            </w:r>
          </w:p>
          <w:p w14:paraId="1ED10748">
            <w:pPr>
              <w:widowControl/>
              <w:jc w:val="left"/>
              <w:rPr>
                <w:rFonts w:ascii="宋体" w:hAnsi="宋体"/>
                <w:color w:val="000000"/>
                <w:sz w:val="24"/>
              </w:rPr>
            </w:pPr>
            <w:r>
              <w:rPr>
                <w:rFonts w:hint="eastAsia" w:ascii="宋体" w:hAnsi="宋体"/>
                <w:color w:val="000000"/>
                <w:sz w:val="24"/>
              </w:rPr>
              <w:t>★（4）</w:t>
            </w:r>
            <w:bookmarkStart w:id="10" w:name="OLE_LINK82"/>
            <w:r>
              <w:rPr>
                <w:rFonts w:hint="eastAsia" w:ascii="宋体" w:hAnsi="宋体"/>
                <w:color w:val="000000"/>
                <w:sz w:val="24"/>
              </w:rPr>
              <w:t>激光器最大单脉冲能量</w:t>
            </w:r>
            <w:bookmarkEnd w:id="10"/>
            <w:r>
              <w:rPr>
                <w:rFonts w:hint="eastAsia" w:ascii="宋体" w:hAnsi="宋体"/>
                <w:color w:val="000000"/>
                <w:sz w:val="24"/>
              </w:rPr>
              <w:t>应满足：1030nm红外基频输出</w:t>
            </w:r>
            <w:r>
              <w:rPr>
                <w:rFonts w:hint="eastAsia"/>
                <w:sz w:val="24"/>
              </w:rPr>
              <w:t>≥</w:t>
            </w:r>
            <w:r>
              <w:rPr>
                <w:rFonts w:hint="eastAsia" w:ascii="宋体" w:hAnsi="宋体"/>
                <w:color w:val="000000"/>
                <w:sz w:val="24"/>
              </w:rPr>
              <w:t>400</w:t>
            </w:r>
            <w:r>
              <w:rPr>
                <w:rFonts w:ascii="宋体" w:hAnsi="宋体"/>
                <w:color w:val="000000"/>
                <w:sz w:val="24"/>
              </w:rPr>
              <w:t>μJ</w:t>
            </w:r>
            <w:r>
              <w:rPr>
                <w:rFonts w:hint="eastAsia" w:ascii="宋体" w:hAnsi="宋体"/>
                <w:color w:val="000000"/>
                <w:sz w:val="24"/>
              </w:rPr>
              <w:t>，515nm绿光二倍频输出</w:t>
            </w:r>
            <w:r>
              <w:rPr>
                <w:rFonts w:hint="eastAsia"/>
                <w:sz w:val="24"/>
              </w:rPr>
              <w:t>≥</w:t>
            </w:r>
            <w:r>
              <w:rPr>
                <w:rFonts w:hint="eastAsia" w:ascii="宋体" w:hAnsi="宋体"/>
                <w:color w:val="000000"/>
                <w:sz w:val="24"/>
              </w:rPr>
              <w:t>60</w:t>
            </w:r>
            <w:r>
              <w:rPr>
                <w:rFonts w:ascii="宋体" w:hAnsi="宋体"/>
                <w:color w:val="000000"/>
                <w:sz w:val="24"/>
              </w:rPr>
              <w:t>μJ</w:t>
            </w:r>
            <w:r>
              <w:rPr>
                <w:rFonts w:hint="eastAsia" w:ascii="宋体" w:hAnsi="宋体"/>
                <w:color w:val="000000"/>
                <w:sz w:val="24"/>
              </w:rPr>
              <w:t>，343nm紫外三倍频输出</w:t>
            </w:r>
            <w:r>
              <w:rPr>
                <w:rFonts w:hint="eastAsia"/>
                <w:sz w:val="24"/>
              </w:rPr>
              <w:t>≥</w:t>
            </w:r>
            <w:r>
              <w:rPr>
                <w:rFonts w:hint="eastAsia" w:ascii="宋体" w:hAnsi="宋体"/>
                <w:color w:val="000000"/>
                <w:sz w:val="24"/>
              </w:rPr>
              <w:t>30</w:t>
            </w:r>
            <w:r>
              <w:rPr>
                <w:rFonts w:ascii="宋体" w:hAnsi="宋体"/>
                <w:color w:val="000000"/>
                <w:sz w:val="24"/>
              </w:rPr>
              <w:t>μJ</w:t>
            </w:r>
            <w:r>
              <w:rPr>
                <w:rFonts w:hint="eastAsia" w:ascii="宋体" w:hAnsi="宋体"/>
                <w:color w:val="000000"/>
                <w:sz w:val="24"/>
              </w:rPr>
              <w:t>；</w:t>
            </w:r>
          </w:p>
          <w:p w14:paraId="1F1C4678">
            <w:pPr>
              <w:widowControl/>
              <w:jc w:val="left"/>
              <w:rPr>
                <w:rFonts w:ascii="宋体" w:hAnsi="宋体"/>
                <w:color w:val="000000"/>
                <w:sz w:val="24"/>
              </w:rPr>
            </w:pPr>
            <w:r>
              <w:rPr>
                <w:rFonts w:hint="eastAsia" w:ascii="宋体" w:hAnsi="宋体"/>
                <w:color w:val="000000"/>
                <w:sz w:val="24"/>
              </w:rPr>
              <w:t>△（5）1030nm基频输出的脉冲重复频率上限</w:t>
            </w:r>
            <w:r>
              <w:rPr>
                <w:rFonts w:hint="eastAsia"/>
                <w:sz w:val="24"/>
              </w:rPr>
              <w:t>≥</w:t>
            </w:r>
            <w:r>
              <w:rPr>
                <w:rFonts w:hint="eastAsia" w:ascii="宋体" w:hAnsi="宋体"/>
                <w:color w:val="000000"/>
                <w:sz w:val="24"/>
              </w:rPr>
              <w:t>800kHz；</w:t>
            </w:r>
          </w:p>
          <w:p w14:paraId="12F02A69">
            <w:pPr>
              <w:widowControl/>
              <w:jc w:val="left"/>
              <w:rPr>
                <w:rFonts w:ascii="宋体" w:hAnsi="宋体"/>
                <w:color w:val="000000"/>
                <w:sz w:val="24"/>
              </w:rPr>
            </w:pPr>
            <w:r>
              <w:rPr>
                <w:rFonts w:hint="eastAsia" w:ascii="宋体" w:hAnsi="宋体"/>
                <w:color w:val="000000"/>
                <w:sz w:val="24"/>
              </w:rPr>
              <w:t>△（6）1030nm红外基频、515nm绿光二倍频及343nm紫外三倍频输出的光斑圆度均</w:t>
            </w:r>
            <w:r>
              <w:rPr>
                <w:rFonts w:hint="eastAsia"/>
                <w:sz w:val="24"/>
              </w:rPr>
              <w:t>≥</w:t>
            </w:r>
            <w:r>
              <w:rPr>
                <w:rFonts w:hint="eastAsia" w:ascii="宋体" w:hAnsi="宋体"/>
                <w:color w:val="000000"/>
                <w:sz w:val="24"/>
              </w:rPr>
              <w:t>90%；</w:t>
            </w:r>
          </w:p>
          <w:p w14:paraId="24511382">
            <w:pPr>
              <w:widowControl/>
              <w:jc w:val="left"/>
              <w:rPr>
                <w:rFonts w:ascii="宋体" w:hAnsi="宋体"/>
                <w:color w:val="000000"/>
                <w:sz w:val="24"/>
              </w:rPr>
            </w:pPr>
            <w:r>
              <w:rPr>
                <w:rFonts w:hint="eastAsia" w:ascii="宋体" w:hAnsi="宋体"/>
                <w:color w:val="000000"/>
                <w:sz w:val="24"/>
              </w:rPr>
              <w:t>★（7）1030nm红外、515nm绿光及343nm紫外输出的平均功率稳定性均≤1%RMS，脉冲间能量稳定性均≤1%RMS。</w:t>
            </w:r>
          </w:p>
          <w:p w14:paraId="6B1A1080">
            <w:pPr>
              <w:widowControl/>
              <w:jc w:val="left"/>
              <w:rPr>
                <w:rFonts w:ascii="宋体" w:hAnsi="宋体"/>
                <w:b/>
                <w:bCs/>
                <w:color w:val="000000"/>
                <w:sz w:val="24"/>
              </w:rPr>
            </w:pPr>
            <w:bookmarkStart w:id="11" w:name="OLE_LINK78"/>
            <w:r>
              <w:rPr>
                <w:rFonts w:hint="eastAsia" w:ascii="宋体" w:hAnsi="宋体"/>
                <w:b/>
                <w:bCs/>
                <w:color w:val="000000"/>
                <w:sz w:val="24"/>
              </w:rPr>
              <w:t>二、皮秒激光部分</w:t>
            </w:r>
          </w:p>
          <w:p w14:paraId="107C952D">
            <w:pPr>
              <w:widowControl/>
              <w:jc w:val="left"/>
              <w:rPr>
                <w:rFonts w:ascii="宋体" w:hAnsi="宋体"/>
                <w:color w:val="000000"/>
                <w:sz w:val="24"/>
              </w:rPr>
            </w:pPr>
            <w:r>
              <w:rPr>
                <w:rFonts w:hint="eastAsia" w:ascii="宋体" w:hAnsi="宋体"/>
                <w:color w:val="000000"/>
                <w:sz w:val="24"/>
              </w:rPr>
              <w:t>★（1）激光器中心波长为355（±2）nm；</w:t>
            </w:r>
          </w:p>
          <w:p w14:paraId="3238471D">
            <w:pPr>
              <w:widowControl/>
              <w:jc w:val="left"/>
              <w:rPr>
                <w:rFonts w:ascii="宋体" w:hAnsi="宋体"/>
                <w:color w:val="000000"/>
                <w:sz w:val="24"/>
              </w:rPr>
            </w:pPr>
            <w:r>
              <w:rPr>
                <w:rFonts w:hint="eastAsia" w:ascii="宋体" w:hAnsi="宋体"/>
                <w:color w:val="000000"/>
                <w:sz w:val="24"/>
              </w:rPr>
              <w:t>★（2）额定平均输出功率≥30W；</w:t>
            </w:r>
          </w:p>
          <w:p w14:paraId="3593E0C6">
            <w:pPr>
              <w:widowControl/>
              <w:jc w:val="left"/>
              <w:rPr>
                <w:rFonts w:ascii="宋体" w:hAnsi="宋体"/>
                <w:color w:val="000000"/>
                <w:sz w:val="24"/>
              </w:rPr>
            </w:pPr>
            <w:r>
              <w:rPr>
                <w:rFonts w:hint="eastAsia" w:ascii="宋体" w:hAnsi="宋体"/>
                <w:color w:val="000000"/>
                <w:sz w:val="24"/>
              </w:rPr>
              <w:t>★（3）脉冲宽度＜10ps；</w:t>
            </w:r>
          </w:p>
          <w:p w14:paraId="687902F2">
            <w:pPr>
              <w:widowControl/>
              <w:jc w:val="left"/>
              <w:rPr>
                <w:rFonts w:ascii="宋体" w:hAnsi="宋体"/>
                <w:color w:val="000000"/>
                <w:sz w:val="24"/>
              </w:rPr>
            </w:pPr>
            <w:bookmarkStart w:id="12" w:name="OLE_LINK83"/>
            <w:r>
              <w:rPr>
                <w:rFonts w:hint="eastAsia" w:ascii="宋体" w:hAnsi="宋体"/>
                <w:color w:val="000000"/>
                <w:sz w:val="24"/>
              </w:rPr>
              <w:t>★（4）最大单脉冲能量</w:t>
            </w:r>
            <w:bookmarkEnd w:id="12"/>
            <w:r>
              <w:rPr>
                <w:rFonts w:hint="eastAsia" w:ascii="宋体" w:hAnsi="宋体"/>
                <w:color w:val="000000"/>
                <w:sz w:val="24"/>
              </w:rPr>
              <w:t>≥30uj；</w:t>
            </w:r>
          </w:p>
          <w:p w14:paraId="19FE3491">
            <w:pPr>
              <w:widowControl/>
              <w:jc w:val="left"/>
              <w:rPr>
                <w:rFonts w:ascii="宋体" w:hAnsi="宋体"/>
                <w:color w:val="000000"/>
                <w:sz w:val="24"/>
              </w:rPr>
            </w:pPr>
            <w:r>
              <w:rPr>
                <w:rFonts w:hint="eastAsia" w:ascii="宋体" w:hAnsi="宋体"/>
                <w:color w:val="000000"/>
                <w:sz w:val="24"/>
              </w:rPr>
              <w:t>△（5）光束质量因子满足</w:t>
            </w:r>
            <w:bookmarkStart w:id="13" w:name="OLE_LINK79"/>
            <w:r>
              <w:rPr>
                <w:rFonts w:hint="eastAsia" w:ascii="宋体" w:hAnsi="宋体"/>
                <w:color w:val="000000"/>
                <w:sz w:val="24"/>
              </w:rPr>
              <w:t>M</w:t>
            </w:r>
            <w:r>
              <w:rPr>
                <w:rFonts w:hint="eastAsia" w:ascii="宋体" w:hAnsi="宋体"/>
                <w:color w:val="000000"/>
                <w:sz w:val="24"/>
                <w:vertAlign w:val="superscript"/>
              </w:rPr>
              <w:t>2</w:t>
            </w:r>
            <w:bookmarkEnd w:id="13"/>
            <w:r>
              <w:rPr>
                <w:rFonts w:hint="eastAsia" w:ascii="宋体" w:hAnsi="宋体"/>
                <w:color w:val="000000"/>
                <w:sz w:val="24"/>
              </w:rPr>
              <w:t>≤1.2；</w:t>
            </w:r>
          </w:p>
          <w:p w14:paraId="7381A460">
            <w:pPr>
              <w:widowControl/>
              <w:jc w:val="left"/>
              <w:rPr>
                <w:rFonts w:ascii="宋体" w:hAnsi="宋体"/>
                <w:color w:val="000000"/>
                <w:sz w:val="24"/>
              </w:rPr>
            </w:pPr>
            <w:r>
              <w:rPr>
                <w:rFonts w:hint="eastAsia" w:ascii="宋体" w:hAnsi="宋体"/>
                <w:color w:val="000000"/>
                <w:sz w:val="24"/>
              </w:rPr>
              <w:t>△（6）在额定工作状态下，平均功率稳定性≤1%RMS，脉冲间能量稳定性≤2%RMS。</w:t>
            </w:r>
          </w:p>
          <w:p w14:paraId="1FB6A40E">
            <w:pPr>
              <w:widowControl/>
              <w:jc w:val="left"/>
              <w:rPr>
                <w:rFonts w:ascii="宋体" w:hAnsi="宋体"/>
                <w:b/>
                <w:bCs/>
                <w:color w:val="000000"/>
                <w:sz w:val="24"/>
              </w:rPr>
            </w:pPr>
            <w:r>
              <w:rPr>
                <w:rFonts w:hint="eastAsia" w:ascii="宋体" w:hAnsi="宋体"/>
                <w:b/>
                <w:bCs/>
                <w:color w:val="000000"/>
                <w:sz w:val="24"/>
              </w:rPr>
              <w:t>三、纳秒激光部分</w:t>
            </w:r>
          </w:p>
          <w:p w14:paraId="298BB139">
            <w:pPr>
              <w:widowControl/>
              <w:jc w:val="left"/>
              <w:rPr>
                <w:rFonts w:ascii="宋体" w:hAnsi="宋体"/>
                <w:color w:val="000000"/>
                <w:sz w:val="24"/>
              </w:rPr>
            </w:pPr>
            <w:r>
              <w:rPr>
                <w:rFonts w:hint="eastAsia" w:ascii="宋体" w:hAnsi="宋体"/>
                <w:color w:val="000000"/>
                <w:sz w:val="24"/>
              </w:rPr>
              <w:t>△（1）激光器中心波长为355nm（±2nm）；</w:t>
            </w:r>
          </w:p>
          <w:p w14:paraId="5EF9DFCF">
            <w:pPr>
              <w:widowControl/>
              <w:jc w:val="left"/>
              <w:rPr>
                <w:rFonts w:ascii="宋体" w:hAnsi="宋体"/>
                <w:color w:val="000000"/>
                <w:sz w:val="24"/>
              </w:rPr>
            </w:pPr>
            <w:r>
              <w:rPr>
                <w:rFonts w:hint="eastAsia" w:ascii="宋体" w:hAnsi="宋体"/>
                <w:color w:val="000000"/>
                <w:sz w:val="24"/>
              </w:rPr>
              <w:t>△（2）额定平均输出功率≥30W；</w:t>
            </w:r>
          </w:p>
          <w:p w14:paraId="05E61E79">
            <w:pPr>
              <w:widowControl/>
              <w:jc w:val="left"/>
              <w:rPr>
                <w:rFonts w:ascii="宋体" w:hAnsi="宋体"/>
                <w:color w:val="000000"/>
                <w:sz w:val="24"/>
              </w:rPr>
            </w:pPr>
            <w:r>
              <w:rPr>
                <w:rFonts w:hint="eastAsia" w:ascii="宋体" w:hAnsi="宋体"/>
                <w:color w:val="000000"/>
                <w:sz w:val="24"/>
              </w:rPr>
              <w:t>△（3）光束质量因子满足M</w:t>
            </w:r>
            <w:r>
              <w:rPr>
                <w:rFonts w:hint="eastAsia" w:ascii="宋体" w:hAnsi="宋体"/>
                <w:color w:val="000000"/>
                <w:sz w:val="24"/>
                <w:vertAlign w:val="superscript"/>
              </w:rPr>
              <w:t>2</w:t>
            </w:r>
            <w:r>
              <w:rPr>
                <w:rFonts w:hint="eastAsia" w:ascii="宋体" w:hAnsi="宋体"/>
                <w:color w:val="000000"/>
                <w:sz w:val="24"/>
              </w:rPr>
              <w:t>≤1.2；</w:t>
            </w:r>
          </w:p>
          <w:p w14:paraId="0A86BA9A">
            <w:pPr>
              <w:widowControl/>
              <w:jc w:val="left"/>
              <w:rPr>
                <w:rFonts w:ascii="宋体" w:hAnsi="宋体"/>
                <w:color w:val="000000"/>
                <w:sz w:val="24"/>
              </w:rPr>
            </w:pPr>
            <w:r>
              <w:rPr>
                <w:rFonts w:hint="eastAsia" w:ascii="宋体" w:hAnsi="宋体"/>
                <w:color w:val="000000"/>
                <w:sz w:val="24"/>
              </w:rPr>
              <w:t>△（4）脉冲宽度≤20ns；</w:t>
            </w:r>
          </w:p>
          <w:p w14:paraId="07CBE6E9">
            <w:pPr>
              <w:widowControl/>
              <w:jc w:val="left"/>
              <w:rPr>
                <w:rFonts w:ascii="宋体" w:hAnsi="宋体"/>
                <w:color w:val="000000"/>
                <w:sz w:val="24"/>
              </w:rPr>
            </w:pPr>
            <w:r>
              <w:rPr>
                <w:rFonts w:hint="eastAsia" w:ascii="宋体" w:hAnsi="宋体"/>
                <w:color w:val="000000"/>
                <w:sz w:val="24"/>
              </w:rPr>
              <w:t>△（5）最大单脉冲能量≥500</w:t>
            </w:r>
            <w:r>
              <w:rPr>
                <w:rFonts w:hint="eastAsia"/>
              </w:rPr>
              <w:t>μJ</w:t>
            </w:r>
            <w:r>
              <w:rPr>
                <w:rFonts w:hint="eastAsia" w:ascii="宋体" w:hAnsi="宋体"/>
                <w:color w:val="000000"/>
                <w:sz w:val="24"/>
              </w:rPr>
              <w:t>；</w:t>
            </w:r>
          </w:p>
          <w:p w14:paraId="2E0FD505">
            <w:pPr>
              <w:widowControl/>
              <w:jc w:val="left"/>
              <w:rPr>
                <w:rFonts w:ascii="宋体" w:hAnsi="宋体"/>
                <w:color w:val="000000"/>
                <w:sz w:val="24"/>
              </w:rPr>
            </w:pPr>
            <w:r>
              <w:rPr>
                <w:rFonts w:hint="eastAsia" w:ascii="宋体" w:hAnsi="宋体"/>
                <w:color w:val="000000"/>
                <w:sz w:val="24"/>
              </w:rPr>
              <w:t>△（6）</w:t>
            </w:r>
            <w:bookmarkStart w:id="14" w:name="OLE_LINK80"/>
            <w:r>
              <w:rPr>
                <w:rFonts w:hint="eastAsia" w:ascii="宋体" w:hAnsi="宋体"/>
                <w:color w:val="000000"/>
                <w:sz w:val="24"/>
              </w:rPr>
              <w:t>平均功率稳定性≤1%RMS，脉冲间能量稳定性≤2%RMS</w:t>
            </w:r>
            <w:bookmarkEnd w:id="14"/>
            <w:r>
              <w:rPr>
                <w:rFonts w:hint="eastAsia" w:ascii="宋体" w:hAnsi="宋体"/>
                <w:color w:val="000000"/>
                <w:sz w:val="24"/>
              </w:rPr>
              <w:t>。</w:t>
            </w:r>
          </w:p>
          <w:bookmarkEnd w:id="11"/>
          <w:p w14:paraId="5FCF0742">
            <w:pPr>
              <w:widowControl/>
              <w:jc w:val="left"/>
              <w:rPr>
                <w:rFonts w:ascii="宋体" w:hAnsi="宋体"/>
                <w:b/>
                <w:bCs/>
                <w:color w:val="000000"/>
                <w:sz w:val="24"/>
              </w:rPr>
            </w:pPr>
            <w:bookmarkStart w:id="15" w:name="OLE_LINK81"/>
            <w:r>
              <w:rPr>
                <w:rFonts w:hint="eastAsia" w:ascii="宋体" w:hAnsi="宋体"/>
                <w:b/>
                <w:bCs/>
                <w:color w:val="000000"/>
                <w:sz w:val="24"/>
              </w:rPr>
              <w:t>四、光路部分</w:t>
            </w:r>
          </w:p>
          <w:p w14:paraId="35FBF5FE">
            <w:pPr>
              <w:widowControl/>
              <w:jc w:val="left"/>
              <w:rPr>
                <w:rFonts w:ascii="宋体" w:hAnsi="宋体"/>
                <w:color w:val="000000"/>
                <w:sz w:val="24"/>
              </w:rPr>
            </w:pPr>
            <w:r>
              <w:rPr>
                <w:rFonts w:hint="eastAsia" w:ascii="宋体" w:hAnsi="宋体"/>
                <w:color w:val="000000"/>
                <w:sz w:val="24"/>
              </w:rPr>
              <w:t>#（1）二维振镜扫描系统：配置5套相互独立的二维振镜扫描系统，分别用于红外飞秒、绿光飞秒、紫外飞秒、紫外皮秒和紫外纳秒激光加工；各振镜反射镜镀膜波段及激光损伤阈值应与对应激光器的性能参数相匹配（激光器性能参数见飞秒激光部分、皮秒激光部分和纳秒激光部分）；</w:t>
            </w:r>
          </w:p>
          <w:p w14:paraId="4DDF2ACF">
            <w:pPr>
              <w:widowControl/>
              <w:jc w:val="left"/>
              <w:rPr>
                <w:rFonts w:ascii="宋体" w:hAnsi="宋体"/>
                <w:color w:val="000000"/>
                <w:sz w:val="24"/>
              </w:rPr>
            </w:pPr>
            <w:r>
              <w:rPr>
                <w:rFonts w:hint="eastAsia" w:ascii="宋体" w:hAnsi="宋体"/>
                <w:color w:val="000000"/>
                <w:sz w:val="24"/>
              </w:rPr>
              <w:t>#（2）振镜有效通光孔径≤14 mm，支持SL2-100或XY2-100 Enhanced数字控制接口；</w:t>
            </w:r>
          </w:p>
          <w:p w14:paraId="5FE6B097">
            <w:pPr>
              <w:widowControl/>
              <w:jc w:val="left"/>
              <w:rPr>
                <w:rFonts w:ascii="宋体" w:hAnsi="宋体"/>
                <w:color w:val="000000"/>
                <w:sz w:val="24"/>
              </w:rPr>
            </w:pPr>
            <w:r>
              <w:rPr>
                <w:rFonts w:hint="eastAsia" w:ascii="宋体" w:hAnsi="宋体"/>
                <w:color w:val="000000"/>
                <w:sz w:val="24"/>
              </w:rPr>
              <w:t>#（3）最大标刻速度≥2000 mm/s，最大定位速度≥5000 mm/s（以</w:t>
            </w:r>
            <w:r>
              <w:rPr>
                <w:rFonts w:ascii="宋体" w:hAnsi="宋体"/>
                <w:color w:val="000000"/>
                <w:sz w:val="24"/>
              </w:rPr>
              <w:t>焦距f=160 mm的F-Theta场镜条件</w:t>
            </w:r>
            <w:r>
              <w:rPr>
                <w:rFonts w:hint="eastAsia" w:ascii="宋体" w:hAnsi="宋体"/>
                <w:color w:val="000000"/>
                <w:sz w:val="24"/>
              </w:rPr>
              <w:t>下为例）；</w:t>
            </w:r>
          </w:p>
          <w:p w14:paraId="659A5DB9">
            <w:pPr>
              <w:widowControl/>
              <w:jc w:val="left"/>
              <w:rPr>
                <w:rFonts w:ascii="宋体" w:hAnsi="宋体"/>
                <w:color w:val="000000"/>
                <w:sz w:val="24"/>
              </w:rPr>
            </w:pPr>
            <w:r>
              <w:rPr>
                <w:rFonts w:hint="eastAsia" w:ascii="宋体" w:hAnsi="宋体"/>
                <w:color w:val="000000"/>
                <w:sz w:val="24"/>
              </w:rPr>
              <w:t>#（4）重复定位精度≤2 μrad RMS，最大定位分辨率≥18 bit，</w:t>
            </w:r>
            <w:r>
              <w:rPr>
                <w:rFonts w:ascii="宋体" w:hAnsi="宋体"/>
                <w:color w:val="000000"/>
                <w:sz w:val="24"/>
              </w:rPr>
              <w:t>非线性误差</w:t>
            </w:r>
            <w:r>
              <w:rPr>
                <w:rFonts w:hint="eastAsia" w:ascii="宋体" w:hAnsi="宋体"/>
                <w:color w:val="000000"/>
                <w:sz w:val="24"/>
              </w:rPr>
              <w:t>≤0.9 mrad/44°；</w:t>
            </w:r>
          </w:p>
          <w:p w14:paraId="325DE0A7">
            <w:pPr>
              <w:widowControl/>
              <w:jc w:val="left"/>
              <w:rPr>
                <w:rFonts w:ascii="宋体" w:hAnsi="宋体"/>
                <w:color w:val="000000"/>
                <w:sz w:val="24"/>
              </w:rPr>
            </w:pPr>
            <w:r>
              <w:rPr>
                <w:rFonts w:hint="eastAsia" w:ascii="宋体" w:hAnsi="宋体"/>
                <w:color w:val="000000"/>
                <w:sz w:val="24"/>
              </w:rPr>
              <w:t>#（5）零位温漂不大于15 μrad/K，增益温漂不大于25 ppm/K；预热30 min后8 h长期漂移不大于：零位100 μrad、增益100 ppm；预热3 h后24 h长期漂移不大于：零位100μrad、增益100ppm；</w:t>
            </w:r>
          </w:p>
          <w:p w14:paraId="69127407">
            <w:pPr>
              <w:widowControl/>
              <w:jc w:val="left"/>
              <w:rPr>
                <w:rFonts w:ascii="宋体" w:hAnsi="宋体"/>
                <w:color w:val="000000"/>
                <w:sz w:val="24"/>
              </w:rPr>
            </w:pPr>
            <w:r>
              <w:rPr>
                <w:rFonts w:hint="eastAsia" w:ascii="宋体" w:hAnsi="宋体"/>
                <w:color w:val="000000"/>
                <w:sz w:val="24"/>
              </w:rPr>
              <w:t>#（6）</w:t>
            </w:r>
            <w:r>
              <w:rPr>
                <w:rFonts w:ascii="宋体" w:hAnsi="宋体"/>
                <w:color w:val="000000"/>
                <w:sz w:val="24"/>
              </w:rPr>
              <w:t>配置适用于1030–1080 nm波段飞秒激光加工的远心F-Theta场镜。场镜应采用熔融石英光学元件，额定工作波长覆盖1030–1080 nm，标称焦距≤100 mm；在额定工作条件下，有效加工幅面不小于40 mm×40 mm，适配的入射光束直径≥14 mm（1/e²），聚焦光斑直径≤15 μm（1/e²），最大远心误差≤2.5°；配置可更换保护镜片</w:t>
            </w:r>
            <w:r>
              <w:rPr>
                <w:rFonts w:hint="eastAsia" w:ascii="宋体" w:hAnsi="宋体"/>
                <w:color w:val="000000"/>
                <w:sz w:val="24"/>
              </w:rPr>
              <w:t>；</w:t>
            </w:r>
          </w:p>
          <w:p w14:paraId="4FC5C256">
            <w:pPr>
              <w:widowControl/>
              <w:jc w:val="left"/>
              <w:rPr>
                <w:rFonts w:ascii="宋体" w:hAnsi="宋体"/>
                <w:color w:val="000000"/>
                <w:sz w:val="24"/>
              </w:rPr>
            </w:pPr>
            <w:r>
              <w:rPr>
                <w:rFonts w:hint="eastAsia" w:ascii="宋体" w:hAnsi="宋体"/>
                <w:color w:val="000000"/>
                <w:sz w:val="24"/>
              </w:rPr>
              <w:t>#（7）</w:t>
            </w:r>
            <w:r>
              <w:rPr>
                <w:rFonts w:ascii="宋体" w:hAnsi="宋体"/>
                <w:color w:val="000000"/>
                <w:sz w:val="24"/>
              </w:rPr>
              <w:t>配置适用于515–540 nm波段飞秒激光加工的远心F-Theta场镜。场镜应采用熔融石英光学元件，额定工作波长覆盖515–540 nm，标称焦距≤100 mm；在额定工作条件下，有效加工幅面不小于40 mm×40 mm，适配的入射光束直径≥14 mm（1/e²），聚焦光斑直径≤10 μm（1/e²），最大远心误差≤2.0°；配置可更换保护镜片</w:t>
            </w:r>
            <w:r>
              <w:rPr>
                <w:rFonts w:hint="eastAsia" w:ascii="宋体" w:hAnsi="宋体"/>
                <w:color w:val="000000"/>
                <w:sz w:val="24"/>
              </w:rPr>
              <w:t>；</w:t>
            </w:r>
          </w:p>
          <w:p w14:paraId="386453B1">
            <w:pPr>
              <w:widowControl/>
              <w:jc w:val="left"/>
              <w:rPr>
                <w:rFonts w:ascii="宋体" w:hAnsi="宋体"/>
                <w:color w:val="000000"/>
                <w:sz w:val="24"/>
              </w:rPr>
            </w:pPr>
            <w:r>
              <w:rPr>
                <w:rFonts w:hint="eastAsia" w:ascii="宋体" w:hAnsi="宋体"/>
                <w:color w:val="000000"/>
                <w:sz w:val="24"/>
              </w:rPr>
              <w:t>#（8）</w:t>
            </w:r>
            <w:r>
              <w:rPr>
                <w:rFonts w:ascii="宋体" w:hAnsi="宋体"/>
                <w:color w:val="000000"/>
                <w:sz w:val="24"/>
              </w:rPr>
              <w:t>配置适用于343–355 nm紫外超快激光加工的远心F-Theta场镜。场镜应采用熔融石英光学元件，标称焦距≤103 mm；在额定工作条件下，有效加工幅面不小于50 mm×50 mm，适配的入射光束直径≥9 mm（1/e²），聚焦光斑直径≤8 μm（1/e²），最大远心误差≤3.0°</w:t>
            </w:r>
            <w:r>
              <w:rPr>
                <w:rFonts w:hint="eastAsia" w:ascii="宋体" w:hAnsi="宋体"/>
                <w:color w:val="000000"/>
                <w:sz w:val="24"/>
              </w:rPr>
              <w:t>；</w:t>
            </w:r>
          </w:p>
          <w:p w14:paraId="4876B6AE">
            <w:pPr>
              <w:widowControl/>
              <w:jc w:val="left"/>
              <w:rPr>
                <w:rFonts w:ascii="宋体" w:hAnsi="宋体"/>
                <w:color w:val="000000"/>
                <w:sz w:val="24"/>
              </w:rPr>
            </w:pPr>
            <w:r>
              <w:rPr>
                <w:rFonts w:hint="eastAsia" w:ascii="宋体" w:hAnsi="宋体"/>
                <w:color w:val="000000"/>
                <w:sz w:val="24"/>
              </w:rPr>
              <w:t>#（9）</w:t>
            </w:r>
            <w:r>
              <w:rPr>
                <w:rFonts w:ascii="宋体" w:hAnsi="宋体"/>
                <w:color w:val="000000"/>
                <w:sz w:val="24"/>
              </w:rPr>
              <w:t>配置适用于1030–1080 nm波段飞秒激光的可变倍率扩束镜。扩束镜应采用熔融石英光学元件，扩束倍率应在1×–4×范围内连续可调或分档可调，额定工作波长覆盖1030–1080 nm；最大适配入射光束直径≥4 mm（1/e²），额定波段内透过率≥97%；具备光束发散角或焦点位置微调功能</w:t>
            </w:r>
            <w:r>
              <w:rPr>
                <w:rFonts w:hint="eastAsia" w:ascii="宋体" w:hAnsi="宋体"/>
                <w:color w:val="000000"/>
                <w:sz w:val="24"/>
              </w:rPr>
              <w:t>；</w:t>
            </w:r>
          </w:p>
          <w:p w14:paraId="63D128A9">
            <w:pPr>
              <w:widowControl/>
              <w:jc w:val="left"/>
              <w:rPr>
                <w:rFonts w:hint="eastAsia" w:ascii="宋体" w:hAnsi="宋体"/>
                <w:color w:val="000000"/>
                <w:sz w:val="24"/>
              </w:rPr>
            </w:pPr>
            <w:r>
              <w:rPr>
                <w:rFonts w:hint="eastAsia" w:ascii="宋体" w:hAnsi="宋体"/>
                <w:color w:val="000000"/>
                <w:sz w:val="24"/>
              </w:rPr>
              <w:t>#（10）</w:t>
            </w:r>
            <w:r>
              <w:rPr>
                <w:rFonts w:ascii="宋体" w:hAnsi="宋体"/>
                <w:color w:val="000000"/>
                <w:sz w:val="24"/>
              </w:rPr>
              <w:t>配置适用于515–540 nm波段飞秒激光的可变倍率扩束镜。扩束镜应采用熔融石英光学元件，扩束倍率应在1×–4×范围内连续可调或分档可调，额定工作波长覆盖515–540 nm；最大适配入射光束直径≥4 mm（1/e²），额定波段内透过率≥97%；具备光束发散角或焦点位置微调功能</w:t>
            </w:r>
            <w:r>
              <w:rPr>
                <w:rFonts w:hint="eastAsia" w:ascii="宋体" w:hAnsi="宋体"/>
                <w:color w:val="000000"/>
                <w:sz w:val="24"/>
              </w:rPr>
              <w:t>；</w:t>
            </w:r>
          </w:p>
          <w:p w14:paraId="0C235608">
            <w:pPr>
              <w:widowControl/>
              <w:jc w:val="left"/>
              <w:rPr>
                <w:rFonts w:ascii="宋体" w:hAnsi="宋体"/>
                <w:color w:val="000000"/>
                <w:sz w:val="24"/>
              </w:rPr>
            </w:pPr>
            <w:r>
              <w:rPr>
                <w:rFonts w:hint="eastAsia" w:ascii="宋体" w:hAnsi="宋体"/>
                <w:color w:val="000000"/>
                <w:sz w:val="24"/>
              </w:rPr>
              <w:t>#（11）</w:t>
            </w:r>
            <w:r>
              <w:rPr>
                <w:rFonts w:ascii="宋体" w:hAnsi="宋体"/>
                <w:color w:val="000000"/>
                <w:sz w:val="24"/>
              </w:rPr>
              <w:t>配置适用于343–355 nm紫外超快激光的可变倍率扩束镜。扩束镜应采用熔融石英光学元件，扩束倍率应在1×–8×范围内连续可调或分档可调，额定工作波长应覆盖343–355 nm；在全部扩束倍率下，适配的入射光束直径≥4 mm（1/e²），额定波段内透过率≥97%，光束指向稳定性≤0.3 mrad；应具备光束发散角或焦点位置微调功能</w:t>
            </w:r>
            <w:r>
              <w:rPr>
                <w:rFonts w:hint="eastAsia" w:ascii="宋体" w:hAnsi="宋体"/>
                <w:color w:val="000000"/>
                <w:sz w:val="24"/>
              </w:rPr>
              <w:t>；</w:t>
            </w:r>
          </w:p>
          <w:p w14:paraId="385B375C">
            <w:pPr>
              <w:widowControl/>
              <w:jc w:val="left"/>
              <w:rPr>
                <w:rFonts w:ascii="宋体" w:hAnsi="宋体"/>
                <w:color w:val="000000"/>
                <w:sz w:val="24"/>
              </w:rPr>
            </w:pPr>
            <w:r>
              <w:rPr>
                <w:rFonts w:hint="eastAsia" w:ascii="宋体" w:hAnsi="宋体"/>
                <w:color w:val="000000"/>
                <w:sz w:val="24"/>
              </w:rPr>
              <w:t>★（12）50×物镜加工系统：配置红外飞秒、绿光飞秒、紫外飞秒和紫外皮秒共4条高倍物镜（50×）加工光路。物镜的工作波段、数值孔径、工作距离、通光孔径、透过率及激光损伤阈值应与对应激光器参数相匹配；</w:t>
            </w:r>
          </w:p>
          <w:p w14:paraId="61932A63">
            <w:pPr>
              <w:widowControl/>
              <w:jc w:val="left"/>
              <w:rPr>
                <w:rFonts w:hint="eastAsia" w:ascii="宋体" w:hAnsi="宋体"/>
                <w:color w:val="000000"/>
                <w:sz w:val="24"/>
              </w:rPr>
            </w:pPr>
            <w:r>
              <w:rPr>
                <w:rFonts w:hint="eastAsia" w:ascii="宋体" w:hAnsi="宋体"/>
                <w:color w:val="000000"/>
                <w:sz w:val="24"/>
              </w:rPr>
              <w:t>#（13）</w:t>
            </w:r>
            <w:r>
              <w:rPr>
                <w:rFonts w:ascii="宋体" w:hAnsi="宋体"/>
                <w:color w:val="000000"/>
                <w:sz w:val="24"/>
              </w:rPr>
              <w:t>配置与激光器波长、功率及光束口径相匹配的反射镜、镜架、单轴微调平台及其他保证系统运行所必需的光路传输和光学组件。单轴微调平台行程≥13mm；镜架应采用运动学调节结构，兼容直径25 mm或25.4 mm、厚度3–5 mm的光学元件，具备不少于2个角度调节轴，各轴角度调节范围≥±3°；镜片采用多点稳定夹持结构，调节过程中不得产生明显松动、漂移或镜片变形</w:t>
            </w:r>
            <w:r>
              <w:rPr>
                <w:rFonts w:hint="eastAsia" w:ascii="宋体" w:hAnsi="宋体"/>
                <w:color w:val="000000"/>
                <w:sz w:val="24"/>
              </w:rPr>
              <w:t>。</w:t>
            </w:r>
          </w:p>
          <w:bookmarkEnd w:id="15"/>
          <w:p w14:paraId="0C26A1F3">
            <w:pPr>
              <w:widowControl/>
              <w:jc w:val="left"/>
              <w:rPr>
                <w:rFonts w:ascii="宋体" w:hAnsi="宋体"/>
                <w:b/>
                <w:bCs/>
                <w:color w:val="000000"/>
                <w:sz w:val="24"/>
              </w:rPr>
            </w:pPr>
            <w:bookmarkStart w:id="16" w:name="OLE_LINK84"/>
            <w:r>
              <w:rPr>
                <w:rFonts w:hint="eastAsia" w:ascii="宋体" w:hAnsi="宋体"/>
                <w:b/>
                <w:bCs/>
                <w:color w:val="000000"/>
                <w:sz w:val="24"/>
              </w:rPr>
              <w:t>五、平台部分</w:t>
            </w:r>
          </w:p>
          <w:p w14:paraId="6EE93BF3">
            <w:pPr>
              <w:widowControl/>
              <w:jc w:val="left"/>
              <w:rPr>
                <w:rFonts w:ascii="宋体" w:hAnsi="宋体"/>
                <w:color w:val="000000"/>
                <w:sz w:val="24"/>
              </w:rPr>
            </w:pPr>
            <w:r>
              <w:rPr>
                <w:rFonts w:hint="eastAsia" w:ascii="宋体" w:hAnsi="宋体"/>
                <w:color w:val="000000"/>
                <w:sz w:val="24"/>
              </w:rPr>
              <w:t>#（1）整机结构：整机采用龙门式天然花岗石基座、钢制承载底座及光学平台的组合结构。花岗石基座通过高阻尼气动隔振系统支承于钢制底座上，用于安装运动平台、加工头及测距系统；光学平台用于安装激光器、扩束、反射及光路切换组件，实现多光路系统的稳定布置和精密调节；</w:t>
            </w:r>
          </w:p>
          <w:p w14:paraId="5918AB7B">
            <w:pPr>
              <w:widowControl/>
              <w:jc w:val="left"/>
              <w:rPr>
                <w:rFonts w:ascii="宋体" w:hAnsi="宋体"/>
                <w:color w:val="000000"/>
                <w:sz w:val="24"/>
              </w:rPr>
            </w:pPr>
            <w:r>
              <w:rPr>
                <w:rFonts w:hint="eastAsia" w:ascii="宋体" w:hAnsi="宋体"/>
                <w:color w:val="000000"/>
                <w:sz w:val="24"/>
              </w:rPr>
              <w:t>#（2）配置X、Y、Z三个直线轴及R、A两个回转轴，构成X–Y–Z–R–A五轴运动平台；支持各轴独立运动及不少于三轴的协调联动；</w:t>
            </w:r>
          </w:p>
          <w:p w14:paraId="5CAA6285">
            <w:pPr>
              <w:widowControl/>
              <w:jc w:val="left"/>
              <w:rPr>
                <w:rFonts w:ascii="宋体" w:hAnsi="宋体"/>
                <w:color w:val="000000"/>
                <w:sz w:val="24"/>
              </w:rPr>
            </w:pPr>
            <w:r>
              <w:rPr>
                <w:rFonts w:hint="eastAsia" w:ascii="宋体" w:hAnsi="宋体"/>
                <w:color w:val="000000"/>
                <w:sz w:val="24"/>
              </w:rPr>
              <w:t>△（3）直线轴行程：X轴有效行程≥1300mm，Y轴有效行程≥500mm，Z轴有效行程≥50mm。若采用双工作台结构，单个工作台的X向有效行程≥1000mm；</w:t>
            </w:r>
          </w:p>
          <w:p w14:paraId="2FE4C16B">
            <w:pPr>
              <w:widowControl/>
              <w:jc w:val="left"/>
              <w:rPr>
                <w:rFonts w:ascii="宋体" w:hAnsi="宋体"/>
                <w:color w:val="000000"/>
                <w:sz w:val="24"/>
              </w:rPr>
            </w:pPr>
            <w:r>
              <w:rPr>
                <w:rFonts w:hint="eastAsia" w:ascii="宋体" w:hAnsi="宋体"/>
                <w:color w:val="000000"/>
                <w:sz w:val="24"/>
              </w:rPr>
              <w:t>△（4）直线轴定位性能：X、Y、Z轴双向定位误差绝对值≤5</w:t>
            </w:r>
            <w:r>
              <w:rPr>
                <w:rFonts w:ascii="宋体" w:hAnsi="宋体"/>
                <w:color w:val="000000"/>
                <w:sz w:val="24"/>
              </w:rPr>
              <w:t>μm</w:t>
            </w:r>
            <w:r>
              <w:rPr>
                <w:rFonts w:hint="eastAsia" w:ascii="宋体" w:hAnsi="宋体"/>
                <w:color w:val="000000"/>
                <w:sz w:val="24"/>
              </w:rPr>
              <w:t>；X、Y轴双向重复定位精度绝对值≤2</w:t>
            </w:r>
            <w:r>
              <w:rPr>
                <w:rFonts w:ascii="宋体" w:hAnsi="宋体"/>
                <w:color w:val="000000"/>
                <w:sz w:val="24"/>
              </w:rPr>
              <w:t>μm</w:t>
            </w:r>
            <w:r>
              <w:rPr>
                <w:rFonts w:hint="eastAsia" w:ascii="宋体" w:hAnsi="宋体"/>
                <w:color w:val="000000"/>
                <w:sz w:val="24"/>
              </w:rPr>
              <w:t>，Z轴双向重复定位精度绝对值≤0.3</w:t>
            </w:r>
            <w:r>
              <w:rPr>
                <w:rFonts w:ascii="宋体" w:hAnsi="宋体"/>
                <w:color w:val="000000"/>
                <w:sz w:val="24"/>
              </w:rPr>
              <w:t>μm</w:t>
            </w:r>
            <w:r>
              <w:rPr>
                <w:rFonts w:hint="eastAsia" w:ascii="宋体" w:hAnsi="宋体"/>
                <w:color w:val="000000"/>
                <w:sz w:val="24"/>
              </w:rPr>
              <w:t>；</w:t>
            </w:r>
          </w:p>
          <w:p w14:paraId="0D81BA22">
            <w:pPr>
              <w:widowControl/>
              <w:jc w:val="left"/>
              <w:rPr>
                <w:rFonts w:ascii="宋体" w:hAnsi="宋体"/>
                <w:color w:val="000000"/>
                <w:sz w:val="24"/>
              </w:rPr>
            </w:pPr>
            <w:r>
              <w:rPr>
                <w:rFonts w:hint="eastAsia" w:ascii="宋体" w:hAnsi="宋体"/>
                <w:color w:val="000000"/>
                <w:sz w:val="24"/>
              </w:rPr>
              <w:t>#（5）回转轴性能：R轴双向重复角定位精度绝对值≤7″；A轴双向重复角定位精度绝对值≤1.5″，连续旋转最高转速≥500 r/min；</w:t>
            </w:r>
          </w:p>
          <w:p w14:paraId="0109D9CC">
            <w:pPr>
              <w:widowControl/>
              <w:jc w:val="left"/>
              <w:rPr>
                <w:rFonts w:ascii="宋体" w:hAnsi="宋体"/>
                <w:color w:val="000000"/>
                <w:sz w:val="24"/>
              </w:rPr>
            </w:pPr>
            <w:r>
              <w:rPr>
                <w:rFonts w:hint="eastAsia" w:ascii="宋体" w:hAnsi="宋体"/>
                <w:color w:val="000000"/>
                <w:sz w:val="24"/>
              </w:rPr>
              <w:t>#（6）配置紧凑型六轴工业机器人，工作半径≥600mm，额定负载≥4kg，</w:t>
            </w:r>
            <w:bookmarkStart w:id="17" w:name="OLE_LINK10"/>
            <w:r>
              <w:rPr>
                <w:rFonts w:hint="eastAsia" w:ascii="宋体" w:hAnsi="宋体"/>
                <w:color w:val="000000"/>
                <w:sz w:val="24"/>
              </w:rPr>
              <w:t>重复定位精度绝对值≤0.02mm</w:t>
            </w:r>
            <w:bookmarkEnd w:id="17"/>
            <w:r>
              <w:rPr>
                <w:rFonts w:hint="eastAsia" w:ascii="宋体" w:hAnsi="宋体"/>
                <w:color w:val="000000"/>
                <w:sz w:val="24"/>
              </w:rPr>
              <w:t>（第1-6关节）。</w:t>
            </w:r>
          </w:p>
          <w:bookmarkEnd w:id="16"/>
          <w:p w14:paraId="1CC8C271">
            <w:pPr>
              <w:widowControl/>
              <w:jc w:val="left"/>
              <w:rPr>
                <w:rFonts w:ascii="宋体" w:hAnsi="宋体"/>
                <w:b/>
                <w:bCs/>
                <w:color w:val="000000"/>
                <w:sz w:val="24"/>
              </w:rPr>
            </w:pPr>
            <w:bookmarkStart w:id="18" w:name="OLE_LINK85"/>
            <w:r>
              <w:rPr>
                <w:rFonts w:hint="eastAsia" w:ascii="宋体" w:hAnsi="宋体"/>
                <w:b/>
                <w:bCs/>
                <w:color w:val="000000"/>
                <w:sz w:val="24"/>
              </w:rPr>
              <w:t>六、驱控部分</w:t>
            </w:r>
          </w:p>
          <w:p w14:paraId="557D03C4">
            <w:pPr>
              <w:widowControl/>
              <w:jc w:val="left"/>
              <w:rPr>
                <w:rFonts w:ascii="宋体" w:hAnsi="宋体"/>
                <w:color w:val="000000"/>
                <w:sz w:val="24"/>
              </w:rPr>
            </w:pPr>
            <w:r>
              <w:rPr>
                <w:rFonts w:hint="eastAsia" w:ascii="宋体" w:hAnsi="宋体"/>
                <w:color w:val="000000"/>
                <w:sz w:val="24"/>
              </w:rPr>
              <w:t>#（1）配置运动控制系统、运动控制卡、振镜激光控制卡及配套伺服驱动器，实现X、Y、Z、R、A五轴运动平台、红外飞秒、绿光飞秒、紫外飞秒、紫外皮秒及紫外纳秒五套振镜系统，以及各激光器和外围I/O设备的控制与管理；</w:t>
            </w:r>
          </w:p>
          <w:p w14:paraId="6907C52E">
            <w:pPr>
              <w:widowControl/>
              <w:jc w:val="left"/>
              <w:rPr>
                <w:rFonts w:ascii="宋体" w:hAnsi="宋体"/>
                <w:color w:val="000000"/>
                <w:sz w:val="24"/>
              </w:rPr>
            </w:pPr>
            <w:r>
              <w:rPr>
                <w:rFonts w:hint="eastAsia" w:ascii="宋体" w:hAnsi="宋体"/>
                <w:color w:val="000000"/>
                <w:sz w:val="24"/>
              </w:rPr>
              <w:t>#（2）控制系统支持各轴使能、点动、绝对/相对定位及多轴联动（不低于三轴）；支持直线、圆弧和轨迹前瞻、速度规划、软硬限位及故障报警功能；</w:t>
            </w:r>
          </w:p>
          <w:p w14:paraId="1FE5FF9E">
            <w:pPr>
              <w:widowControl/>
              <w:jc w:val="left"/>
              <w:rPr>
                <w:rFonts w:ascii="宋体" w:hAnsi="宋体"/>
                <w:color w:val="000000"/>
                <w:sz w:val="24"/>
              </w:rPr>
            </w:pPr>
            <w:r>
              <w:rPr>
                <w:rFonts w:hint="eastAsia" w:ascii="宋体" w:hAnsi="宋体"/>
                <w:color w:val="000000"/>
                <w:sz w:val="24"/>
              </w:rPr>
              <w:t>#（3）配置中文图形化激光加工控制软件，集成设备连接、参数设置、加工文件编辑、轨迹预览、加工执行、暂停/停止、手动调试、状态监控及报警记录功能；</w:t>
            </w:r>
          </w:p>
          <w:p w14:paraId="10183060">
            <w:pPr>
              <w:widowControl/>
              <w:jc w:val="left"/>
              <w:rPr>
                <w:rFonts w:ascii="宋体" w:hAnsi="宋体"/>
                <w:color w:val="000000"/>
                <w:sz w:val="24"/>
              </w:rPr>
            </w:pPr>
            <w:r>
              <w:rPr>
                <w:rFonts w:hint="eastAsia" w:ascii="宋体" w:hAnsi="宋体"/>
                <w:color w:val="000000"/>
                <w:sz w:val="24"/>
              </w:rPr>
              <w:t>△（4）控制系统应具备急停、激光器故障、冷却异常、运动轴超程及驱动器故障联锁功能；任一安全条件不满足时，应立即关闭激光输出并按预设逻辑停止设备运行</w:t>
            </w:r>
            <w:bookmarkEnd w:id="18"/>
            <w:r>
              <w:rPr>
                <w:rFonts w:hint="eastAsia" w:ascii="宋体" w:hAnsi="宋体"/>
                <w:color w:val="000000"/>
                <w:sz w:val="24"/>
              </w:rPr>
              <w:t>；</w:t>
            </w:r>
          </w:p>
          <w:p w14:paraId="32E927C3">
            <w:pPr>
              <w:widowControl/>
              <w:jc w:val="left"/>
              <w:rPr>
                <w:rFonts w:ascii="宋体" w:hAnsi="宋体"/>
                <w:color w:val="000000"/>
                <w:sz w:val="24"/>
              </w:rPr>
            </w:pPr>
            <w:r>
              <w:rPr>
                <w:rFonts w:hint="eastAsia" w:ascii="宋体" w:hAnsi="宋体"/>
                <w:color w:val="000000"/>
                <w:sz w:val="24"/>
              </w:rPr>
              <w:t>#（5）配置六轴机器人控制器及配套编程调试软件，支持六轴协调运动、点位运动、直线和圆弧插补、工件坐标系管理、轨迹规划、状态监测和故障诊断。</w:t>
            </w:r>
          </w:p>
          <w:p w14:paraId="1597B443">
            <w:pPr>
              <w:widowControl/>
              <w:jc w:val="left"/>
              <w:rPr>
                <w:rFonts w:ascii="宋体" w:hAnsi="宋体"/>
                <w:b/>
                <w:bCs/>
                <w:color w:val="000000"/>
                <w:sz w:val="24"/>
              </w:rPr>
            </w:pPr>
            <w:r>
              <w:rPr>
                <w:rFonts w:hint="eastAsia" w:ascii="宋体" w:hAnsi="宋体"/>
                <w:b/>
                <w:bCs/>
                <w:color w:val="000000"/>
                <w:sz w:val="24"/>
              </w:rPr>
              <w:t>七、其它部分</w:t>
            </w:r>
          </w:p>
          <w:p w14:paraId="7B3515F4">
            <w:pPr>
              <w:widowControl/>
              <w:jc w:val="left"/>
              <w:rPr>
                <w:rFonts w:ascii="宋体" w:hAnsi="宋体"/>
                <w:color w:val="000000"/>
                <w:sz w:val="24"/>
              </w:rPr>
            </w:pPr>
            <w:r>
              <w:rPr>
                <w:rFonts w:hint="eastAsia" w:ascii="宋体" w:hAnsi="宋体"/>
                <w:color w:val="000000"/>
                <w:sz w:val="24"/>
              </w:rPr>
              <w:t>△（1）</w:t>
            </w:r>
            <w:r>
              <w:rPr>
                <w:rFonts w:ascii="宋体" w:hAnsi="宋体"/>
                <w:color w:val="000000"/>
                <w:sz w:val="24"/>
              </w:rPr>
              <w:t>配置工业控制计算机、键盘及鼠标。处理器应具备不少于12个物理核心、20个线程，最高动态工作频率≥4.9 GHz，三级缓存≥25 MB，支持</w:t>
            </w:r>
            <w:r>
              <w:rPr>
                <w:rFonts w:hint="eastAsia" w:ascii="宋体" w:hAnsi="宋体"/>
                <w:color w:val="000000"/>
                <w:sz w:val="24"/>
              </w:rPr>
              <w:t>不少于</w:t>
            </w:r>
            <w:r>
              <w:rPr>
                <w:rFonts w:ascii="宋体" w:hAnsi="宋体"/>
                <w:color w:val="000000"/>
                <w:sz w:val="24"/>
              </w:rPr>
              <w:t>64位运算及多任务并行处理。运行内存≥于32 GB，系统固态硬盘≥1TB，数据存储容量≥2TB；应配置满足三维轨迹显示要求的图形处理单元，并具有足够的（满足该设备各个配件需求的）Ethernet、USB、串口和控制卡扩展接口</w:t>
            </w:r>
            <w:r>
              <w:rPr>
                <w:rFonts w:hint="eastAsia" w:ascii="宋体" w:hAnsi="宋体"/>
                <w:color w:val="000000"/>
                <w:sz w:val="24"/>
              </w:rPr>
              <w:t>；</w:t>
            </w:r>
          </w:p>
          <w:p w14:paraId="1FB61942">
            <w:pPr>
              <w:widowControl/>
              <w:jc w:val="left"/>
              <w:rPr>
                <w:rFonts w:ascii="宋体" w:hAnsi="宋体"/>
                <w:color w:val="000000"/>
                <w:sz w:val="24"/>
              </w:rPr>
            </w:pPr>
            <w:r>
              <w:rPr>
                <w:rFonts w:hint="eastAsia" w:ascii="宋体" w:hAnsi="宋体"/>
                <w:color w:val="000000"/>
                <w:sz w:val="24"/>
              </w:rPr>
              <w:t>★（2）因本项目设备安装场地楼面设计活荷载最大承载力为300kg/m</w:t>
            </w:r>
            <w:r>
              <w:rPr>
                <w:rFonts w:hint="eastAsia" w:ascii="宋体" w:hAnsi="宋体"/>
                <w:color w:val="000000"/>
                <w:sz w:val="24"/>
                <w:vertAlign w:val="superscript"/>
              </w:rPr>
              <w:t>2</w:t>
            </w:r>
            <w:r>
              <w:rPr>
                <w:rFonts w:hint="eastAsia" w:ascii="宋体" w:hAnsi="宋体"/>
                <w:color w:val="000000"/>
                <w:sz w:val="24"/>
              </w:rPr>
              <w:t>，考虑到安装及使用安全问题，供应商在投标时应根据前述情况，提供整机总质量数据、安装后的总占地面积数据、设备外形尺寸数据以及基础安装要求。且，供应商中标后须根据采购人提供的现场条件和现场确认结果，配合采购人完成设备安装布置及分载；</w:t>
            </w:r>
          </w:p>
          <w:p w14:paraId="58C1432E">
            <w:pPr>
              <w:widowControl/>
              <w:jc w:val="left"/>
              <w:rPr>
                <w:rFonts w:ascii="宋体" w:hAnsi="宋体"/>
                <w:color w:val="000000"/>
                <w:sz w:val="24"/>
              </w:rPr>
            </w:pPr>
            <w:r>
              <w:rPr>
                <w:rFonts w:hint="eastAsia" w:ascii="宋体" w:hAnsi="宋体"/>
                <w:color w:val="000000"/>
                <w:sz w:val="24"/>
              </w:rPr>
              <w:t>△（3）配置与各激光器、倍频模块及振镜相匹配的独立恒温冷却系统；具备水温、流量和压力监测以及超温、欠流和缺水报警功能；</w:t>
            </w:r>
          </w:p>
          <w:p w14:paraId="012A23BF">
            <w:pPr>
              <w:widowControl/>
              <w:jc w:val="left"/>
              <w:rPr>
                <w:rFonts w:ascii="宋体" w:hAnsi="宋体"/>
                <w:color w:val="000000"/>
                <w:sz w:val="24"/>
              </w:rPr>
            </w:pPr>
            <w:r>
              <w:rPr>
                <w:rFonts w:hint="eastAsia" w:ascii="宋体" w:hAnsi="宋体"/>
                <w:color w:val="000000"/>
                <w:sz w:val="24"/>
              </w:rPr>
              <w:t>#（4）配置工件夹持装置；</w:t>
            </w:r>
          </w:p>
          <w:p w14:paraId="679FAECF">
            <w:pPr>
              <w:widowControl/>
              <w:jc w:val="left"/>
              <w:rPr>
                <w:rFonts w:ascii="宋体" w:hAnsi="宋体"/>
                <w:color w:val="000000"/>
                <w:sz w:val="24"/>
              </w:rPr>
            </w:pPr>
            <w:r>
              <w:rPr>
                <w:rFonts w:hint="eastAsia" w:ascii="宋体" w:hAnsi="宋体"/>
                <w:color w:val="000000"/>
                <w:sz w:val="24"/>
              </w:rPr>
              <w:t>#（5）设备光路采用全封闭安全防护结构；</w:t>
            </w:r>
          </w:p>
          <w:p w14:paraId="388C1C70">
            <w:pPr>
              <w:widowControl/>
              <w:jc w:val="left"/>
              <w:rPr>
                <w:rFonts w:ascii="宋体" w:hAnsi="宋体"/>
                <w:color w:val="000000"/>
                <w:sz w:val="24"/>
              </w:rPr>
            </w:pPr>
            <w:r>
              <w:rPr>
                <w:rFonts w:hint="eastAsia" w:ascii="宋体" w:hAnsi="宋体"/>
                <w:color w:val="000000"/>
                <w:sz w:val="24"/>
              </w:rPr>
              <w:t>△（6）配置激光加工排烟除尘系统，能够收集加工过程中产生的颗粒物、烟尘及挥发性气体（过滤效率≥99.8%，过滤精度0.3-1μm）；</w:t>
            </w:r>
          </w:p>
          <w:p w14:paraId="7F508008">
            <w:pPr>
              <w:widowControl/>
              <w:jc w:val="left"/>
              <w:rPr>
                <w:rFonts w:ascii="宋体" w:hAnsi="宋体"/>
                <w:color w:val="000000"/>
                <w:sz w:val="24"/>
              </w:rPr>
            </w:pPr>
            <w:r>
              <w:rPr>
                <w:rFonts w:hint="eastAsia" w:ascii="宋体" w:hAnsi="宋体"/>
                <w:color w:val="000000"/>
                <w:sz w:val="24"/>
              </w:rPr>
              <w:t>△（7）配置独立电气控制柜、总电源开关、分级断路器、漏电保护、过流过压保护、24 V直流控制电源、稳压及浪涌保护装置；强电、弱电、编码器及激光触发信号线应分开布置，设备应具备保护接地、等电位连接和电磁兼容设计；</w:t>
            </w:r>
          </w:p>
          <w:p w14:paraId="4E7A5E26">
            <w:pPr>
              <w:widowControl/>
              <w:jc w:val="left"/>
              <w:rPr>
                <w:rFonts w:ascii="宋体" w:hAnsi="宋体"/>
                <w:color w:val="000000"/>
                <w:sz w:val="24"/>
              </w:rPr>
            </w:pPr>
            <w:r>
              <w:rPr>
                <w:rFonts w:hint="eastAsia" w:ascii="宋体" w:hAnsi="宋体"/>
                <w:color w:val="000000"/>
                <w:sz w:val="24"/>
              </w:rPr>
              <w:t>△（8）整机供电采用AC 220 V、50 Hz；</w:t>
            </w:r>
          </w:p>
          <w:p w14:paraId="3950169D">
            <w:pPr>
              <w:jc w:val="left"/>
              <w:rPr>
                <w:rFonts w:ascii="宋体" w:hAnsi="宋体"/>
                <w:color w:val="000000"/>
                <w:sz w:val="24"/>
              </w:rPr>
            </w:pPr>
            <w:r>
              <w:rPr>
                <w:rFonts w:hint="eastAsia" w:ascii="宋体" w:hAnsi="宋体"/>
                <w:color w:val="000000"/>
                <w:sz w:val="24"/>
              </w:rPr>
              <w:t>#（9）紫外飞秒物镜加工模式下，最小聚焦光斑尺寸≤2</w:t>
            </w:r>
            <w:r>
              <w:rPr>
                <w:rFonts w:ascii="宋体" w:hAnsi="宋体"/>
                <w:color w:val="000000"/>
                <w:sz w:val="24"/>
              </w:rPr>
              <w:t>μm</w:t>
            </w:r>
            <w:bookmarkEnd w:id="8"/>
            <w:r>
              <w:rPr>
                <w:rFonts w:hint="eastAsia" w:ascii="宋体" w:hAnsi="宋体"/>
                <w:color w:val="000000"/>
                <w:sz w:val="24"/>
              </w:rPr>
              <w:t>。</w:t>
            </w:r>
          </w:p>
        </w:tc>
      </w:tr>
      <w:bookmarkEnd w:id="2"/>
      <w:bookmarkEnd w:id="3"/>
      <w:bookmarkEnd w:id="5"/>
      <w:bookmarkEnd w:id="6"/>
    </w:tbl>
    <w:p w14:paraId="76E044A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594B5"/>
    <w:multiLevelType w:val="singleLevel"/>
    <w:tmpl w:val="CE1594B5"/>
    <w:lvl w:ilvl="0" w:tentative="0">
      <w:start w:val="9"/>
      <w:numFmt w:val="decimal"/>
      <w:suff w:val="nothing"/>
      <w:lvlText w:val="%1、"/>
      <w:lvlJc w:val="left"/>
    </w:lvl>
  </w:abstractNum>
  <w:abstractNum w:abstractNumId="1">
    <w:nsid w:val="5A372858"/>
    <w:multiLevelType w:val="multilevel"/>
    <w:tmpl w:val="5A372858"/>
    <w:lvl w:ilvl="0" w:tentative="0">
      <w:start w:val="1"/>
      <w:numFmt w:val="japaneseCounting"/>
      <w:lvlText w:val="%1、"/>
      <w:lvlJc w:val="left"/>
      <w:pPr>
        <w:ind w:left="504" w:hanging="50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7B7AE8"/>
    <w:rsid w:val="667B7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rFonts w:ascii="Times New Roman" w:hAnsi="Times New Roman"/>
      <w:sz w:val="18"/>
      <w:szCs w:val="20"/>
    </w:rPr>
  </w:style>
  <w:style w:type="character" w:styleId="7">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2026-07-29T02:22:00Z</dcterms:created>
  <dc:creator>空</dc:creator>
  <cp:lastModifiedBy>空</cp:lastModifiedBy>
  <dcterms:modified xsi:type="dcterms:W3CDTF">2026-07-29T02:26:45Z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7A7558A0185143C1B481815825E942B3_11</vt:lpwstr>
  </property>
  <property fmtid="{D5CDD505-2E9C-101B-9397-08002B2CF9AE}" pid="4" name="KSOTemplateDocerSaveRecord">
    <vt:lpwstr>eyJoZGlkIjoiMDg3Nzg5NDEzZDM4MDgyNTM4ZWIzNmZkMmEwMzNjOTYiLCJ1c2VySWQiOiIxMzg1NTY1ODQwIn0=</vt:lpwstr>
  </property>
</Properties>
</file>