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01600A">
      <w:pPr>
        <w:adjustRightInd w:val="0"/>
        <w:snapToGrid w:val="0"/>
        <w:spacing w:after="156" w:afterLines="50" w:line="360" w:lineRule="auto"/>
        <w:jc w:val="center"/>
        <w:outlineLvl w:val="0"/>
        <w:rPr>
          <w:rFonts w:hint="eastAsia" w:ascii="黑体" w:eastAsia="黑体"/>
          <w:b/>
          <w:color w:val="auto"/>
          <w:kern w:val="44"/>
          <w:sz w:val="48"/>
          <w:szCs w:val="20"/>
          <w:highlight w:val="none"/>
        </w:rPr>
      </w:pPr>
      <w:r>
        <w:rPr>
          <w:rFonts w:hint="eastAsia" w:ascii="宋体" w:hAnsi="宋体"/>
          <w:b/>
          <w:color w:val="auto"/>
          <w:sz w:val="30"/>
          <w:szCs w:val="30"/>
          <w:highlight w:val="none"/>
        </w:rPr>
        <w:t>采购需求</w:t>
      </w:r>
    </w:p>
    <w:p w14:paraId="3C214BD2">
      <w:pPr>
        <w:adjustRightInd w:val="0"/>
        <w:snapToGrid w:val="0"/>
        <w:spacing w:before="156" w:beforeLines="50" w:after="156" w:afterLines="50" w:line="360" w:lineRule="auto"/>
        <w:jc w:val="center"/>
        <w:rPr>
          <w:rFonts w:hint="eastAsia" w:ascii="宋体" w:hAnsi="宋体"/>
          <w:b/>
          <w:color w:val="auto"/>
          <w:sz w:val="24"/>
          <w:highlight w:val="none"/>
        </w:rPr>
      </w:pPr>
    </w:p>
    <w:p w14:paraId="74A00406">
      <w:pPr>
        <w:adjustRightInd w:val="0"/>
        <w:snapToGrid w:val="0"/>
        <w:spacing w:before="156" w:beforeLines="50" w:after="156" w:afterLines="50" w:line="360" w:lineRule="auto"/>
        <w:jc w:val="center"/>
        <w:rPr>
          <w:rFonts w:hint="eastAsia" w:ascii="宋体" w:hAnsi="宋体"/>
          <w:b/>
          <w:color w:val="auto"/>
          <w:sz w:val="28"/>
          <w:szCs w:val="28"/>
          <w:highlight w:val="none"/>
        </w:rPr>
      </w:pPr>
      <w:r>
        <w:rPr>
          <w:rFonts w:hint="eastAsia" w:ascii="宋体" w:hAnsi="宋体"/>
          <w:b/>
          <w:color w:val="auto"/>
          <w:sz w:val="28"/>
          <w:szCs w:val="28"/>
          <w:highlight w:val="none"/>
        </w:rPr>
        <w:t>货物需求一览表</w:t>
      </w:r>
    </w:p>
    <w:p w14:paraId="3CD7EA24">
      <w:pPr>
        <w:rPr>
          <w:rFonts w:hint="eastAsia"/>
          <w:color w:val="auto"/>
          <w:highlight w:val="none"/>
        </w:rPr>
      </w:pPr>
    </w:p>
    <w:tbl>
      <w:tblPr>
        <w:tblStyle w:val="6"/>
        <w:tblW w:w="784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
      <w:tblGrid>
        <w:gridCol w:w="938"/>
        <w:gridCol w:w="3390"/>
        <w:gridCol w:w="1577"/>
        <w:gridCol w:w="1935"/>
      </w:tblGrid>
      <w:tr w14:paraId="7B0200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773" w:hRule="atLeast"/>
          <w:jc w:val="center"/>
        </w:trPr>
        <w:tc>
          <w:tcPr>
            <w:tcW w:w="938" w:type="dxa"/>
            <w:noWrap w:val="0"/>
            <w:vAlign w:val="center"/>
          </w:tcPr>
          <w:p w14:paraId="1EAD7EC1">
            <w:pPr>
              <w:jc w:val="center"/>
              <w:rPr>
                <w:rFonts w:ascii="宋体" w:hAnsi="Bookman Old Style"/>
                <w:color w:val="auto"/>
                <w:sz w:val="24"/>
                <w:highlight w:val="none"/>
              </w:rPr>
            </w:pPr>
            <w:r>
              <w:rPr>
                <w:rFonts w:hint="eastAsia" w:ascii="宋体" w:hAnsi="Bookman Old Style"/>
                <w:color w:val="auto"/>
                <w:sz w:val="24"/>
                <w:highlight w:val="none"/>
              </w:rPr>
              <w:t>包号</w:t>
            </w:r>
          </w:p>
        </w:tc>
        <w:tc>
          <w:tcPr>
            <w:tcW w:w="3390" w:type="dxa"/>
            <w:noWrap w:val="0"/>
            <w:vAlign w:val="center"/>
          </w:tcPr>
          <w:p w14:paraId="701AD286">
            <w:pPr>
              <w:jc w:val="center"/>
              <w:rPr>
                <w:rFonts w:ascii="宋体" w:hAnsi="Bookman Old Style"/>
                <w:color w:val="auto"/>
                <w:sz w:val="24"/>
                <w:highlight w:val="none"/>
              </w:rPr>
            </w:pPr>
            <w:r>
              <w:rPr>
                <w:rFonts w:hint="eastAsia" w:ascii="宋体" w:hAnsi="Bookman Old Style"/>
                <w:color w:val="auto"/>
                <w:sz w:val="24"/>
                <w:highlight w:val="none"/>
              </w:rPr>
              <w:t>货物名称</w:t>
            </w:r>
          </w:p>
        </w:tc>
        <w:tc>
          <w:tcPr>
            <w:tcW w:w="1577" w:type="dxa"/>
            <w:noWrap w:val="0"/>
            <w:vAlign w:val="center"/>
          </w:tcPr>
          <w:p w14:paraId="61593A42">
            <w:pPr>
              <w:jc w:val="center"/>
              <w:rPr>
                <w:rFonts w:ascii="宋体" w:hAnsi="Bookman Old Style"/>
                <w:color w:val="auto"/>
                <w:sz w:val="24"/>
                <w:highlight w:val="none"/>
              </w:rPr>
            </w:pPr>
            <w:r>
              <w:rPr>
                <w:rFonts w:hint="eastAsia" w:ascii="宋体" w:hAnsi="Bookman Old Style"/>
                <w:color w:val="auto"/>
                <w:sz w:val="24"/>
                <w:highlight w:val="none"/>
              </w:rPr>
              <w:t>数量</w:t>
            </w:r>
          </w:p>
        </w:tc>
        <w:tc>
          <w:tcPr>
            <w:tcW w:w="1935" w:type="dxa"/>
            <w:noWrap w:val="0"/>
            <w:vAlign w:val="center"/>
          </w:tcPr>
          <w:p w14:paraId="5553ADA7">
            <w:pPr>
              <w:jc w:val="center"/>
              <w:rPr>
                <w:rFonts w:ascii="宋体" w:hAnsi="Bookman Old Style"/>
                <w:color w:val="auto"/>
                <w:sz w:val="24"/>
                <w:highlight w:val="none"/>
              </w:rPr>
            </w:pPr>
            <w:r>
              <w:rPr>
                <w:rFonts w:hint="eastAsia" w:ascii="宋体" w:hAnsi="Bookman Old Style"/>
                <w:color w:val="auto"/>
                <w:sz w:val="24"/>
                <w:highlight w:val="none"/>
              </w:rPr>
              <w:t>是否接受进口</w:t>
            </w:r>
          </w:p>
        </w:tc>
      </w:tr>
      <w:tr w14:paraId="14B0FC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973" w:hRule="atLeast"/>
          <w:jc w:val="center"/>
        </w:trPr>
        <w:tc>
          <w:tcPr>
            <w:tcW w:w="938" w:type="dxa"/>
            <w:noWrap w:val="0"/>
            <w:vAlign w:val="center"/>
          </w:tcPr>
          <w:p w14:paraId="6754040E">
            <w:pPr>
              <w:jc w:val="center"/>
              <w:rPr>
                <w:rFonts w:hint="eastAsia" w:ascii="宋体"/>
                <w:color w:val="auto"/>
                <w:sz w:val="24"/>
                <w:highlight w:val="none"/>
              </w:rPr>
            </w:pPr>
            <w:r>
              <w:rPr>
                <w:rFonts w:hint="eastAsia" w:ascii="宋体"/>
                <w:color w:val="auto"/>
                <w:sz w:val="24"/>
                <w:highlight w:val="none"/>
              </w:rPr>
              <w:t>1</w:t>
            </w:r>
          </w:p>
        </w:tc>
        <w:tc>
          <w:tcPr>
            <w:tcW w:w="3390" w:type="dxa"/>
            <w:noWrap w:val="0"/>
            <w:vAlign w:val="center"/>
          </w:tcPr>
          <w:p w14:paraId="11A98303">
            <w:pPr>
              <w:jc w:val="center"/>
              <w:rPr>
                <w:rFonts w:hint="default" w:ascii="Bookman Old Style" w:hAnsi="Bookman Old Style" w:eastAsia="宋体"/>
                <w:color w:val="auto"/>
                <w:sz w:val="24"/>
                <w:highlight w:val="none"/>
                <w:lang w:val="en-US" w:eastAsia="zh-CN"/>
              </w:rPr>
            </w:pPr>
            <w:r>
              <w:rPr>
                <w:rFonts w:hint="default" w:ascii="Bookman Old Style" w:hAnsi="Bookman Old Style" w:eastAsia="宋体"/>
                <w:color w:val="auto"/>
                <w:sz w:val="24"/>
                <w:highlight w:val="none"/>
                <w:lang w:val="en-US" w:eastAsia="zh-CN"/>
              </w:rPr>
              <w:t>微区电子透射键合系统</w:t>
            </w:r>
          </w:p>
        </w:tc>
        <w:tc>
          <w:tcPr>
            <w:tcW w:w="1577" w:type="dxa"/>
            <w:noWrap w:val="0"/>
            <w:vAlign w:val="center"/>
          </w:tcPr>
          <w:p w14:paraId="0ABE5FC3">
            <w:pPr>
              <w:jc w:val="center"/>
              <w:rPr>
                <w:rFonts w:hint="eastAsia" w:ascii="宋体" w:hAnsi="Bookman Old Style"/>
                <w:color w:val="auto"/>
                <w:sz w:val="24"/>
                <w:highlight w:val="none"/>
              </w:rPr>
            </w:pPr>
            <w:r>
              <w:rPr>
                <w:rFonts w:hint="eastAsia" w:ascii="宋体" w:hAnsi="宋体" w:cs="宋体"/>
                <w:color w:val="auto"/>
                <w:sz w:val="24"/>
                <w:highlight w:val="none"/>
              </w:rPr>
              <w:t>1套</w:t>
            </w:r>
          </w:p>
        </w:tc>
        <w:tc>
          <w:tcPr>
            <w:tcW w:w="1935" w:type="dxa"/>
            <w:noWrap w:val="0"/>
            <w:vAlign w:val="center"/>
          </w:tcPr>
          <w:p w14:paraId="3536BBBA">
            <w:pPr>
              <w:jc w:val="center"/>
              <w:rPr>
                <w:rFonts w:hint="default" w:ascii="宋体" w:hAnsi="Bookman Old Style" w:eastAsia="宋体"/>
                <w:color w:val="auto"/>
                <w:sz w:val="24"/>
                <w:highlight w:val="none"/>
                <w:lang w:val="en-US" w:eastAsia="zh-CN"/>
              </w:rPr>
            </w:pPr>
            <w:r>
              <w:rPr>
                <w:rFonts w:hint="eastAsia" w:ascii="宋体" w:hAnsi="Bookman Old Style"/>
                <w:color w:val="auto"/>
                <w:sz w:val="24"/>
                <w:highlight w:val="none"/>
                <w:lang w:val="en-US" w:eastAsia="zh-CN"/>
              </w:rPr>
              <w:t>否</w:t>
            </w:r>
          </w:p>
        </w:tc>
      </w:tr>
    </w:tbl>
    <w:p w14:paraId="0B92070A">
      <w:pPr>
        <w:adjustRightInd w:val="0"/>
        <w:snapToGrid w:val="0"/>
        <w:jc w:val="center"/>
        <w:rPr>
          <w:rFonts w:hint="eastAsia" w:ascii="宋体" w:hAnsi="宋体"/>
          <w:b/>
          <w:color w:val="auto"/>
          <w:sz w:val="30"/>
          <w:szCs w:val="30"/>
          <w:highlight w:val="none"/>
        </w:rPr>
      </w:pPr>
    </w:p>
    <w:p w14:paraId="406F6CEF">
      <w:pPr>
        <w:spacing w:line="360" w:lineRule="auto"/>
        <w:rPr>
          <w:rFonts w:hint="eastAsia" w:ascii="Bookman Old Style" w:hAnsi="Bookman Old Style"/>
          <w:color w:val="auto"/>
          <w:sz w:val="24"/>
          <w:highlight w:val="none"/>
        </w:rPr>
      </w:pPr>
      <w:r>
        <w:rPr>
          <w:rFonts w:hint="eastAsia"/>
          <w:color w:val="auto"/>
          <w:sz w:val="24"/>
          <w:highlight w:val="none"/>
        </w:rPr>
        <w:t>注：投标人须对上述投标内容中完整的一包或几包进行投标，</w:t>
      </w:r>
      <w:r>
        <w:rPr>
          <w:rFonts w:hint="eastAsia" w:ascii="Bookman Old Style" w:hAnsi="Bookman Old Style"/>
          <w:color w:val="auto"/>
          <w:sz w:val="24"/>
          <w:highlight w:val="none"/>
        </w:rPr>
        <w:t>不完整的投标将视为非响应性投标予以拒绝。</w:t>
      </w:r>
    </w:p>
    <w:p w14:paraId="61A3EFDE">
      <w:pPr>
        <w:tabs>
          <w:tab w:val="left" w:pos="720"/>
        </w:tabs>
        <w:adjustRightInd w:val="0"/>
        <w:snapToGrid w:val="0"/>
        <w:jc w:val="center"/>
        <w:rPr>
          <w:rFonts w:ascii="Times New Roman" w:hAnsi="Times New Roman"/>
          <w:b/>
          <w:color w:val="auto"/>
          <w:sz w:val="32"/>
          <w:szCs w:val="32"/>
          <w:highlight w:val="none"/>
        </w:rPr>
      </w:pPr>
      <w:r>
        <w:rPr>
          <w:rFonts w:hint="eastAsia"/>
          <w:color w:val="auto"/>
          <w:highlight w:val="none"/>
        </w:rPr>
        <w:br w:type="page"/>
      </w:r>
      <w:r>
        <w:rPr>
          <w:rFonts w:hint="eastAsia" w:ascii="Times New Roman" w:hAnsi="Times New Roman" w:eastAsia="宋体" w:cs="Times New Roman"/>
          <w:b/>
          <w:color w:val="auto"/>
          <w:sz w:val="32"/>
          <w:szCs w:val="32"/>
          <w:highlight w:val="none"/>
          <w:lang w:val="en-US" w:eastAsia="zh-CN"/>
        </w:rPr>
        <w:t>一、</w:t>
      </w:r>
      <w:r>
        <w:rPr>
          <w:rFonts w:hint="default" w:ascii="Times New Roman" w:hAnsi="Times New Roman" w:eastAsia="宋体" w:cs="Times New Roman"/>
          <w:b/>
          <w:color w:val="auto"/>
          <w:sz w:val="32"/>
          <w:szCs w:val="32"/>
          <w:highlight w:val="none"/>
        </w:rPr>
        <w:t>总则</w:t>
      </w:r>
    </w:p>
    <w:p w14:paraId="05E6BF5E">
      <w:pPr>
        <w:keepNext w:val="0"/>
        <w:keepLines w:val="0"/>
        <w:pageBreakBefore w:val="0"/>
        <w:widowControl w:val="0"/>
        <w:kinsoku/>
        <w:wordWrap/>
        <w:overflowPunct/>
        <w:topLinePunct w:val="0"/>
        <w:autoSpaceDE/>
        <w:autoSpaceDN/>
        <w:bidi w:val="0"/>
        <w:adjustRightInd/>
        <w:snapToGrid/>
        <w:spacing w:line="360" w:lineRule="auto"/>
        <w:ind w:left="601" w:hanging="601"/>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1、投标要求</w:t>
      </w:r>
    </w:p>
    <w:p w14:paraId="29029AA2">
      <w:pPr>
        <w:keepNext w:val="0"/>
        <w:keepLines w:val="0"/>
        <w:pageBreakBefore w:val="0"/>
        <w:widowControl w:val="0"/>
        <w:kinsoku/>
        <w:wordWrap/>
        <w:overflowPunct/>
        <w:topLinePunct w:val="0"/>
        <w:autoSpaceDE/>
        <w:autoSpaceDN/>
        <w:bidi w:val="0"/>
        <w:adjustRightInd/>
        <w:snapToGrid/>
        <w:spacing w:line="360" w:lineRule="auto"/>
        <w:ind w:left="554" w:hanging="554" w:hangingChars="231"/>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  供应商在准备投标文件时，务必在所提供的商品的技术规格文件中，标明型号、商标名称、目录号。</w:t>
      </w:r>
    </w:p>
    <w:p w14:paraId="294BD675">
      <w:pPr>
        <w:keepNext w:val="0"/>
        <w:keepLines w:val="0"/>
        <w:pageBreakBefore w:val="0"/>
        <w:widowControl w:val="0"/>
        <w:kinsoku/>
        <w:wordWrap/>
        <w:overflowPunct/>
        <w:topLinePunct w:val="0"/>
        <w:autoSpaceDE/>
        <w:autoSpaceDN/>
        <w:bidi w:val="0"/>
        <w:adjustRightInd/>
        <w:snapToGrid/>
        <w:spacing w:line="360" w:lineRule="auto"/>
        <w:ind w:left="554" w:hanging="554" w:hangingChars="231"/>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1.2  </w:t>
      </w:r>
      <w:r>
        <w:rPr>
          <w:rFonts w:hint="eastAsia" w:ascii="宋体" w:hAnsi="宋体" w:eastAsia="宋体" w:cs="宋体"/>
          <w:b/>
          <w:bCs/>
          <w:color w:val="auto"/>
          <w:sz w:val="24"/>
          <w:szCs w:val="24"/>
          <w:highlight w:val="none"/>
        </w:rPr>
        <w:t>供应商提供的货物须是成熟的全新的产品</w:t>
      </w:r>
      <w:r>
        <w:rPr>
          <w:rFonts w:hint="eastAsia" w:ascii="宋体" w:hAnsi="宋体" w:eastAsia="宋体" w:cs="宋体"/>
          <w:color w:val="auto"/>
          <w:sz w:val="24"/>
          <w:szCs w:val="24"/>
          <w:highlight w:val="none"/>
        </w:rPr>
        <w:t>，其技术规格应符合采购文件的要求。如与采购文件的技术规格有偏差，应提供技术规格偏差的量值或说明（偏离表）。如供应商有意隐瞒对规格要求的偏差或在开标后提出新的偏差，采购人有权拒绝其投标。</w:t>
      </w:r>
    </w:p>
    <w:p w14:paraId="740D2472">
      <w:pPr>
        <w:keepNext w:val="0"/>
        <w:keepLines w:val="0"/>
        <w:pageBreakBefore w:val="0"/>
        <w:widowControl w:val="0"/>
        <w:kinsoku/>
        <w:wordWrap/>
        <w:overflowPunct/>
        <w:topLinePunct w:val="0"/>
        <w:autoSpaceDE/>
        <w:autoSpaceDN/>
        <w:bidi w:val="0"/>
        <w:adjustRightInd/>
        <w:snapToGrid/>
        <w:spacing w:line="360" w:lineRule="auto"/>
        <w:ind w:left="554" w:hanging="554" w:hangingChars="231"/>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  供应商提供的产品样本，必须是“原件”而非复印件，图表、简图、电路图以及印刷电路板图等都应清晰易读。采购人有权不付任何附加费用复制这些资料以供参考。</w:t>
      </w:r>
    </w:p>
    <w:p w14:paraId="539BB68D">
      <w:pPr>
        <w:keepNext w:val="0"/>
        <w:keepLines w:val="0"/>
        <w:pageBreakBefore w:val="0"/>
        <w:widowControl w:val="0"/>
        <w:kinsoku/>
        <w:wordWrap/>
        <w:overflowPunct/>
        <w:topLinePunct w:val="0"/>
        <w:autoSpaceDE/>
        <w:autoSpaceDN/>
        <w:bidi w:val="0"/>
        <w:adjustRightInd/>
        <w:snapToGrid/>
        <w:spacing w:line="360" w:lineRule="auto"/>
        <w:ind w:left="554" w:hanging="554" w:hangingChars="231"/>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  供应商的投标产品应符合国家有关部门规定的相应技术、节能、安全和环保标准；如国家有关部门对供应商的投标产品有强制性规定或要求的，则供应商的投标产品必须符合相应规定或要求。</w:t>
      </w:r>
    </w:p>
    <w:p w14:paraId="3662E9D8">
      <w:pPr>
        <w:bidi w:val="0"/>
        <w:rPr>
          <w:rFonts w:hint="eastAsia"/>
          <w:color w:val="auto"/>
          <w:highlight w:val="none"/>
        </w:rPr>
      </w:pPr>
    </w:p>
    <w:p w14:paraId="308427CA">
      <w:pPr>
        <w:keepNext w:val="0"/>
        <w:keepLines w:val="0"/>
        <w:pageBreakBefore w:val="0"/>
        <w:widowControl w:val="0"/>
        <w:kinsoku/>
        <w:wordWrap/>
        <w:overflowPunct/>
        <w:topLinePunct w:val="0"/>
        <w:autoSpaceDE/>
        <w:autoSpaceDN/>
        <w:bidi w:val="0"/>
        <w:adjustRightInd/>
        <w:snapToGrid/>
        <w:spacing w:line="360" w:lineRule="auto"/>
        <w:ind w:left="601" w:hanging="601"/>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2、评标标准</w:t>
      </w:r>
    </w:p>
    <w:p w14:paraId="079D4E32">
      <w:pPr>
        <w:keepNext w:val="0"/>
        <w:keepLines w:val="0"/>
        <w:pageBreakBefore w:val="0"/>
        <w:widowControl w:val="0"/>
        <w:kinsoku/>
        <w:wordWrap/>
        <w:overflowPunct/>
        <w:topLinePunct w:val="0"/>
        <w:autoSpaceDE/>
        <w:autoSpaceDN/>
        <w:bidi w:val="0"/>
        <w:adjustRightInd/>
        <w:snapToGrid/>
        <w:spacing w:line="360" w:lineRule="auto"/>
        <w:ind w:left="554" w:hanging="554" w:hangingChars="231"/>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  除采购文件中指定的附件和专用工具外，供应商应提供仪器设备的正常运行和常规保养所需的全套标准附件、专用工具和消耗品。供应商在投标书中需列出这些附件和工具的数量和单价的清单，这些附件和工具的报价的总值需计入投标价中。</w:t>
      </w:r>
    </w:p>
    <w:p w14:paraId="1309EB81">
      <w:pPr>
        <w:keepNext w:val="0"/>
        <w:keepLines w:val="0"/>
        <w:pageBreakBefore w:val="0"/>
        <w:widowControl w:val="0"/>
        <w:kinsoku/>
        <w:wordWrap/>
        <w:overflowPunct/>
        <w:topLinePunct w:val="0"/>
        <w:autoSpaceDE/>
        <w:autoSpaceDN/>
        <w:bidi w:val="0"/>
        <w:adjustRightInd/>
        <w:snapToGrid/>
        <w:spacing w:line="360" w:lineRule="auto"/>
        <w:ind w:left="554" w:hanging="554" w:hangingChars="231"/>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  对于标书技术规范中已列出的作为查询选件的附件、零配件、专用工具和消耗品，投标文件中应列明其数量、单价、总价供采购人参考。供应商也可推荐采购人没有要求的附件或专用工具作为选件，并列明其数量、单价、总价供采购人参考。选件价格不计入评标价中。选件一旦为采购人用户接受，其费用将加入合同价中。</w:t>
      </w:r>
    </w:p>
    <w:p w14:paraId="305B727E">
      <w:pPr>
        <w:keepNext w:val="0"/>
        <w:keepLines w:val="0"/>
        <w:pageBreakBefore w:val="0"/>
        <w:widowControl w:val="0"/>
        <w:kinsoku/>
        <w:wordWrap/>
        <w:overflowPunct/>
        <w:topLinePunct w:val="0"/>
        <w:autoSpaceDE/>
        <w:autoSpaceDN/>
        <w:bidi w:val="0"/>
        <w:adjustRightInd/>
        <w:snapToGrid/>
        <w:spacing w:line="360" w:lineRule="auto"/>
        <w:ind w:left="554" w:hanging="554" w:hangingChars="231"/>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2.3  为便于用户进行接收仪器的准备工作，供应商应在合同生效后</w:t>
      </w:r>
      <w:r>
        <w:rPr>
          <w:rFonts w:hint="eastAsia" w:ascii="宋体" w:hAnsi="宋体" w:eastAsia="宋体" w:cs="宋体"/>
          <w:b/>
          <w:color w:val="auto"/>
          <w:sz w:val="24"/>
          <w:szCs w:val="24"/>
          <w:highlight w:val="none"/>
        </w:rPr>
        <w:t>60</w:t>
      </w:r>
      <w:r>
        <w:rPr>
          <w:rFonts w:hint="eastAsia" w:ascii="宋体" w:hAnsi="宋体" w:eastAsia="宋体" w:cs="宋体"/>
          <w:color w:val="auto"/>
          <w:sz w:val="24"/>
          <w:szCs w:val="24"/>
          <w:highlight w:val="none"/>
        </w:rPr>
        <w:t>天内向用户提供一套完整的使用说明书、操作手册、维修及安装说明等文件。另一套完整上述资料应在交货时随货包装提供给用户，这些费用应计入投标价中。</w:t>
      </w:r>
    </w:p>
    <w:p w14:paraId="67EFE663">
      <w:pPr>
        <w:keepNext w:val="0"/>
        <w:keepLines w:val="0"/>
        <w:pageBreakBefore w:val="0"/>
        <w:widowControl w:val="0"/>
        <w:kinsoku/>
        <w:wordWrap/>
        <w:overflowPunct/>
        <w:topLinePunct w:val="0"/>
        <w:autoSpaceDE/>
        <w:autoSpaceDN/>
        <w:bidi w:val="0"/>
        <w:adjustRightInd/>
        <w:snapToGrid/>
        <w:spacing w:line="360" w:lineRule="auto"/>
        <w:ind w:left="554" w:hanging="554" w:hangingChars="231"/>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2.4  关于设备的安装调试，如果有必要的安装准备条件，供应商应在合同生效后一个月内向采购人提出详细的要求或计划。安装调试的费用应计入投标价中，并应单独列出，供评标使用。</w:t>
      </w:r>
    </w:p>
    <w:p w14:paraId="72B0195B">
      <w:pPr>
        <w:keepNext w:val="0"/>
        <w:keepLines w:val="0"/>
        <w:pageBreakBefore w:val="0"/>
        <w:widowControl w:val="0"/>
        <w:kinsoku/>
        <w:wordWrap/>
        <w:overflowPunct/>
        <w:topLinePunct w:val="0"/>
        <w:autoSpaceDE/>
        <w:autoSpaceDN/>
        <w:bidi w:val="0"/>
        <w:adjustRightInd/>
        <w:snapToGrid/>
        <w:spacing w:line="360" w:lineRule="auto"/>
        <w:ind w:left="554" w:hanging="554" w:hangingChars="231"/>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  制造厂家提供的培训指的是涉及货物的基本原理、操作使用和保养维修等有关内容的培训。培训教员的培训费、旅费、食宿费等费用和培训场地费及培训资料费均应由供应商支付。</w:t>
      </w:r>
    </w:p>
    <w:p w14:paraId="32C3C038">
      <w:pPr>
        <w:keepNext w:val="0"/>
        <w:keepLines w:val="0"/>
        <w:pageBreakBefore w:val="0"/>
        <w:widowControl w:val="0"/>
        <w:kinsoku/>
        <w:wordWrap/>
        <w:overflowPunct/>
        <w:topLinePunct w:val="0"/>
        <w:autoSpaceDE/>
        <w:autoSpaceDN/>
        <w:bidi w:val="0"/>
        <w:adjustRightInd/>
        <w:snapToGrid/>
        <w:spacing w:line="360" w:lineRule="auto"/>
        <w:ind w:left="554" w:hanging="554" w:hangingChars="231"/>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2.6  在评标过程中，采购人有权向供应商索取任何与评标有关的资料，供应商务必在接到此类要求后，在规定时间内予以答复。对于无答复的供应商，采购人有权拒绝其投标。</w:t>
      </w:r>
    </w:p>
    <w:p w14:paraId="632EBE71">
      <w:pPr>
        <w:bidi w:val="0"/>
        <w:rPr>
          <w:rFonts w:hint="eastAsia"/>
          <w:color w:val="auto"/>
          <w:highlight w:val="none"/>
        </w:rPr>
      </w:pPr>
    </w:p>
    <w:p w14:paraId="7F45AC6F">
      <w:pPr>
        <w:keepNext w:val="0"/>
        <w:keepLines w:val="0"/>
        <w:pageBreakBefore w:val="0"/>
        <w:widowControl w:val="0"/>
        <w:kinsoku/>
        <w:wordWrap/>
        <w:overflowPunct/>
        <w:topLinePunct w:val="0"/>
        <w:autoSpaceDE/>
        <w:autoSpaceDN/>
        <w:bidi w:val="0"/>
        <w:adjustRightInd/>
        <w:snapToGrid/>
        <w:spacing w:line="360" w:lineRule="auto"/>
        <w:ind w:left="601" w:hanging="601"/>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3、工作条件</w:t>
      </w:r>
    </w:p>
    <w:p w14:paraId="24DE587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  适于在气温为摄氏-40℃～＋50℃和相对湿度为90％的环境条件下运输和贮存。</w:t>
      </w:r>
    </w:p>
    <w:p w14:paraId="7ED3BC7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  适于在电源380V（10％）/50Hz、气温摄氏+15℃～＋30℃和相对湿度小于80％的环境条件下运行。能够连续正常工作。</w:t>
      </w:r>
    </w:p>
    <w:p w14:paraId="2B8EE1C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3.3  配置符合中国有关标准要求的插头，如果没有这样的插头，则需提供适当的转换插座。</w:t>
      </w:r>
    </w:p>
    <w:p w14:paraId="6114D32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highlight w:val="none"/>
        </w:rPr>
      </w:pPr>
      <w:r>
        <w:rPr>
          <w:rFonts w:hint="eastAsia" w:ascii="宋体" w:hAnsi="宋体" w:eastAsia="宋体" w:cs="宋体"/>
          <w:color w:val="auto"/>
          <w:sz w:val="24"/>
          <w:szCs w:val="24"/>
          <w:highlight w:val="none"/>
        </w:rPr>
        <w:t>3.4  如产品达不到上述要求，供应商应注明其偏差。如仪器设备需要特殊工作条件（如水、电源、磁场强度、温度、湿度、动强度等）供应商应在投标书中加以说明。</w:t>
      </w:r>
    </w:p>
    <w:p w14:paraId="0B057985">
      <w:pPr>
        <w:bidi w:val="0"/>
        <w:rPr>
          <w:rFonts w:hint="eastAsia"/>
          <w:color w:val="auto"/>
          <w:highlight w:val="none"/>
        </w:rPr>
      </w:pPr>
    </w:p>
    <w:p w14:paraId="5F72C210">
      <w:pPr>
        <w:keepNext w:val="0"/>
        <w:keepLines w:val="0"/>
        <w:pageBreakBefore w:val="0"/>
        <w:widowControl w:val="0"/>
        <w:kinsoku/>
        <w:wordWrap/>
        <w:overflowPunct/>
        <w:topLinePunct w:val="0"/>
        <w:autoSpaceDE/>
        <w:autoSpaceDN/>
        <w:bidi w:val="0"/>
        <w:adjustRightInd/>
        <w:snapToGrid/>
        <w:spacing w:line="360" w:lineRule="auto"/>
        <w:ind w:left="601" w:hanging="601"/>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4、验收标准</w:t>
      </w:r>
    </w:p>
    <w:p w14:paraId="6DC8F80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除非在具体要求中另有说明，所有仪器、设备和系统按下列要求进行验收： </w:t>
      </w:r>
    </w:p>
    <w:p w14:paraId="341B61AA">
      <w:pPr>
        <w:keepNext w:val="0"/>
        <w:keepLines w:val="0"/>
        <w:pageBreakBefore w:val="0"/>
        <w:widowControl w:val="0"/>
        <w:kinsoku/>
        <w:wordWrap/>
        <w:overflowPunct/>
        <w:topLinePunct w:val="0"/>
        <w:autoSpaceDE/>
        <w:autoSpaceDN/>
        <w:bidi w:val="0"/>
        <w:adjustRightInd/>
        <w:snapToGrid/>
        <w:spacing w:line="360" w:lineRule="auto"/>
        <w:ind w:left="554" w:hanging="554" w:hangingChars="231"/>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4.1  仪器设备运抵安装现场后，采购人将与供应商共同开箱验收, 如供应商届时不派人来, 则验收结果应以采购人的验收报告为最终验收结果。验收时发现短缺、破损, 采购人有权要求供应商负责更换。</w:t>
      </w:r>
    </w:p>
    <w:p w14:paraId="72FB0503">
      <w:pPr>
        <w:keepNext w:val="0"/>
        <w:keepLines w:val="0"/>
        <w:pageBreakBefore w:val="0"/>
        <w:widowControl w:val="0"/>
        <w:kinsoku/>
        <w:wordWrap/>
        <w:overflowPunct/>
        <w:topLinePunct w:val="0"/>
        <w:autoSpaceDE/>
        <w:autoSpaceDN/>
        <w:bidi w:val="0"/>
        <w:adjustRightInd/>
        <w:snapToGrid/>
        <w:spacing w:line="360" w:lineRule="auto"/>
        <w:ind w:left="554" w:hanging="554" w:hangingChars="231"/>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4.2  验收标准以中标人提供的投标文件中所列的指标为准（该指标应不低于采购文件所要求的指标）。任何虚假指标响应一经发现即作废标，供应商必须承担由此给采购人带来的一切经济损失和其它相关责任。</w:t>
      </w:r>
    </w:p>
    <w:p w14:paraId="66258ACF">
      <w:pPr>
        <w:keepNext w:val="0"/>
        <w:keepLines w:val="0"/>
        <w:pageBreakBefore w:val="0"/>
        <w:widowControl w:val="0"/>
        <w:kinsoku/>
        <w:wordWrap/>
        <w:overflowPunct/>
        <w:topLinePunct w:val="0"/>
        <w:autoSpaceDE/>
        <w:autoSpaceDN/>
        <w:bidi w:val="0"/>
        <w:adjustRightInd/>
        <w:snapToGrid/>
        <w:spacing w:line="360" w:lineRule="auto"/>
        <w:ind w:left="554" w:hanging="554" w:hangingChars="231"/>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4.3  验收由采购人、中标人及相关人员依国家有关标准、合同及有关附件要求进行，验收完毕由采购人及中标人在验收报告上签名。</w:t>
      </w:r>
    </w:p>
    <w:p w14:paraId="1101D8AB">
      <w:pPr>
        <w:bidi w:val="0"/>
        <w:rPr>
          <w:rFonts w:hint="eastAsia"/>
          <w:color w:val="auto"/>
          <w:highlight w:val="none"/>
        </w:rPr>
      </w:pPr>
    </w:p>
    <w:p w14:paraId="0A848180">
      <w:pPr>
        <w:keepNext w:val="0"/>
        <w:keepLines w:val="0"/>
        <w:pageBreakBefore w:val="0"/>
        <w:widowControl w:val="0"/>
        <w:kinsoku/>
        <w:wordWrap/>
        <w:overflowPunct/>
        <w:topLinePunct w:val="0"/>
        <w:autoSpaceDE/>
        <w:autoSpaceDN/>
        <w:bidi w:val="0"/>
        <w:adjustRightInd/>
        <w:snapToGrid/>
        <w:spacing w:line="360" w:lineRule="auto"/>
        <w:ind w:left="410" w:hanging="410" w:hangingChars="17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5、本具体要求中标注“★”号的为实质性要求，不满足其投标将被拒绝。</w:t>
      </w:r>
    </w:p>
    <w:p w14:paraId="29FA2A84">
      <w:pPr>
        <w:bidi w:val="0"/>
        <w:rPr>
          <w:rFonts w:hint="eastAsia"/>
          <w:color w:val="auto"/>
          <w:highlight w:val="none"/>
        </w:rPr>
      </w:pPr>
    </w:p>
    <w:p w14:paraId="7F66A57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b/>
          <w:color w:val="auto"/>
          <w:sz w:val="24"/>
          <w:highlight w:val="none"/>
        </w:rPr>
      </w:pPr>
      <w:r>
        <w:rPr>
          <w:rFonts w:hint="eastAsia" w:ascii="宋体" w:hAnsi="宋体" w:eastAsia="宋体" w:cs="宋体"/>
          <w:b/>
          <w:color w:val="auto"/>
          <w:sz w:val="24"/>
          <w:szCs w:val="24"/>
          <w:highlight w:val="none"/>
        </w:rPr>
        <w:t>6、如在具体要求中有本总则不一致之处，以具体要求中的要求内容为准。</w:t>
      </w:r>
    </w:p>
    <w:p w14:paraId="7DF4A940">
      <w:pPr>
        <w:adjustRightInd w:val="0"/>
        <w:snapToGrid w:val="0"/>
        <w:spacing w:before="156" w:beforeLines="50" w:after="156" w:afterLines="50" w:line="360" w:lineRule="auto"/>
        <w:jc w:val="center"/>
        <w:rPr>
          <w:rFonts w:hint="eastAsia"/>
          <w:color w:val="auto"/>
          <w:highlight w:val="none"/>
        </w:rPr>
      </w:pPr>
      <w:r>
        <w:rPr>
          <w:rFonts w:hint="default" w:ascii="Times New Roman" w:hAnsi="Times New Roman"/>
          <w:b/>
          <w:color w:val="auto"/>
          <w:sz w:val="24"/>
          <w:highlight w:val="none"/>
        </w:rPr>
        <w:br w:type="page"/>
      </w:r>
      <w:r>
        <w:rPr>
          <w:rFonts w:hint="eastAsia" w:ascii="宋体" w:hAnsi="宋体" w:eastAsia="宋体" w:cs="Times New Roman"/>
          <w:b/>
          <w:color w:val="auto"/>
          <w:sz w:val="28"/>
          <w:szCs w:val="28"/>
          <w:highlight w:val="none"/>
          <w:lang w:val="en-US" w:eastAsia="zh-CN"/>
        </w:rPr>
        <w:t>二、</w:t>
      </w:r>
      <w:r>
        <w:rPr>
          <w:rFonts w:hint="eastAsia" w:ascii="宋体" w:hAnsi="宋体" w:eastAsia="宋体" w:cs="Times New Roman"/>
          <w:b/>
          <w:color w:val="auto"/>
          <w:sz w:val="28"/>
          <w:szCs w:val="28"/>
          <w:highlight w:val="none"/>
        </w:rPr>
        <w:t>具体</w:t>
      </w:r>
      <w:r>
        <w:rPr>
          <w:rFonts w:hint="eastAsia" w:ascii="宋体" w:hAnsi="宋体"/>
          <w:b/>
          <w:color w:val="auto"/>
          <w:sz w:val="28"/>
          <w:szCs w:val="28"/>
          <w:highlight w:val="none"/>
        </w:rPr>
        <w:t>要求：</w:t>
      </w:r>
    </w:p>
    <w:p w14:paraId="7C406B69">
      <w:pPr>
        <w:jc w:val="center"/>
        <w:rPr>
          <w:rFonts w:hint="default" w:eastAsia="宋体"/>
          <w:b/>
          <w:color w:val="auto"/>
          <w:sz w:val="28"/>
          <w:szCs w:val="28"/>
          <w:highlight w:val="none"/>
          <w:lang w:val="en-US" w:eastAsia="zh-CN"/>
        </w:rPr>
      </w:pPr>
      <w:r>
        <w:rPr>
          <w:rFonts w:hint="eastAsia"/>
          <w:b/>
          <w:color w:val="auto"/>
          <w:sz w:val="28"/>
          <w:szCs w:val="28"/>
          <w:highlight w:val="none"/>
        </w:rPr>
        <w:t>货物名称：</w:t>
      </w:r>
      <w:r>
        <w:rPr>
          <w:rFonts w:hint="eastAsia"/>
          <w:b/>
          <w:color w:val="auto"/>
          <w:sz w:val="28"/>
          <w:szCs w:val="28"/>
          <w:highlight w:val="none"/>
          <w:lang w:val="en-US" w:eastAsia="zh-CN"/>
        </w:rPr>
        <w:t>微区电子透射键合系统</w:t>
      </w:r>
    </w:p>
    <w:p w14:paraId="0EEBD3E3">
      <w:pPr>
        <w:bidi w:val="0"/>
        <w:rPr>
          <w:rFonts w:hint="eastAsia"/>
          <w:color w:val="auto"/>
          <w:highlight w:val="none"/>
        </w:rPr>
      </w:pPr>
    </w:p>
    <w:p w14:paraId="46DF1603">
      <w:pPr>
        <w:rPr>
          <w:rFonts w:hint="eastAsia"/>
          <w:b/>
          <w:bCs/>
          <w:color w:val="auto"/>
          <w:sz w:val="28"/>
          <w:szCs w:val="28"/>
          <w:highlight w:val="none"/>
        </w:rPr>
      </w:pPr>
      <w:r>
        <w:rPr>
          <w:rFonts w:hint="eastAsia"/>
          <w:b/>
          <w:bCs/>
          <w:color w:val="auto"/>
          <w:sz w:val="28"/>
          <w:szCs w:val="28"/>
          <w:highlight w:val="none"/>
        </w:rPr>
        <w:t>（一）技术要求</w:t>
      </w:r>
    </w:p>
    <w:p w14:paraId="3D3AA5FC">
      <w:pPr>
        <w:pStyle w:val="2"/>
        <w:keepNext w:val="0"/>
        <w:keepLines w:val="0"/>
        <w:pageBreakBefore w:val="0"/>
        <w:kinsoku/>
        <w:wordWrap/>
        <w:overflowPunct/>
        <w:topLinePunct w:val="0"/>
        <w:autoSpaceDE/>
        <w:autoSpaceDN/>
        <w:bidi w:val="0"/>
        <w:adjustRightInd/>
        <w:snapToGrid/>
        <w:spacing w:after="0" w:line="360" w:lineRule="auto"/>
        <w:ind w:left="0" w:leftChars="0" w:firstLine="0" w:firstLineChars="0"/>
        <w:textAlignment w:val="auto"/>
        <w:rPr>
          <w:rFonts w:hint="eastAsia" w:ascii="宋体" w:hAnsi="宋体" w:eastAsia="宋体" w:cs="宋体"/>
          <w:b/>
          <w:color w:val="auto"/>
          <w:sz w:val="24"/>
          <w:szCs w:val="24"/>
          <w:highlight w:val="none"/>
          <w:lang w:eastAsia="zh-CN"/>
        </w:rPr>
      </w:pPr>
      <w:r>
        <w:rPr>
          <w:rFonts w:hint="eastAsia" w:ascii="宋体" w:hAnsi="宋体" w:eastAsia="宋体" w:cs="宋体"/>
          <w:b/>
          <w:color w:val="auto"/>
          <w:sz w:val="24"/>
          <w:szCs w:val="24"/>
          <w:highlight w:val="none"/>
        </w:rPr>
        <w:t>1、工作条件</w:t>
      </w:r>
      <w:r>
        <w:rPr>
          <w:rFonts w:hint="eastAsia" w:ascii="宋体" w:hAnsi="宋体" w:eastAsia="宋体" w:cs="宋体"/>
          <w:b/>
          <w:color w:val="auto"/>
          <w:sz w:val="24"/>
          <w:szCs w:val="24"/>
          <w:highlight w:val="none"/>
          <w:lang w:eastAsia="zh-CN"/>
        </w:rPr>
        <w:t>：</w:t>
      </w:r>
    </w:p>
    <w:p w14:paraId="7BACFBDA">
      <w:pPr>
        <w:pStyle w:val="2"/>
        <w:keepNext w:val="0"/>
        <w:keepLines w:val="0"/>
        <w:pageBreakBefore w:val="0"/>
        <w:widowControl w:val="0"/>
        <w:numPr>
          <w:ilvl w:val="1"/>
          <w:numId w:val="0"/>
        </w:numPr>
        <w:kinsoku/>
        <w:wordWrap/>
        <w:overflowPunct/>
        <w:topLinePunct w:val="0"/>
        <w:autoSpaceDE/>
        <w:autoSpaceDN/>
        <w:bidi w:val="0"/>
        <w:adjustRightInd/>
        <w:snapToGrid/>
        <w:spacing w:after="0" w:line="360" w:lineRule="auto"/>
        <w:ind w:left="1007" w:leftChars="55" w:hanging="892" w:hangingChars="372"/>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bidi="ar-SA"/>
        </w:rPr>
        <w:t>1.1</w:t>
      </w:r>
      <w:r>
        <w:rPr>
          <w:rFonts w:hint="eastAsia" w:ascii="宋体" w:hAnsi="宋体" w:eastAsia="宋体" w:cs="宋体"/>
          <w:color w:val="auto"/>
          <w:kern w:val="0"/>
          <w:sz w:val="24"/>
          <w:szCs w:val="24"/>
          <w:highlight w:val="none"/>
        </w:rPr>
        <w:t>供电：380V，50KW 三相五线制，独立接地线（接地电阻≤3Ω）</w:t>
      </w:r>
    </w:p>
    <w:p w14:paraId="7EB75AF9">
      <w:pPr>
        <w:pStyle w:val="2"/>
        <w:keepNext w:val="0"/>
        <w:keepLines w:val="0"/>
        <w:pageBreakBefore w:val="0"/>
        <w:widowControl w:val="0"/>
        <w:numPr>
          <w:ilvl w:val="1"/>
          <w:numId w:val="0"/>
        </w:numPr>
        <w:kinsoku/>
        <w:wordWrap/>
        <w:overflowPunct/>
        <w:topLinePunct w:val="0"/>
        <w:autoSpaceDE/>
        <w:autoSpaceDN/>
        <w:bidi w:val="0"/>
        <w:adjustRightInd/>
        <w:snapToGrid/>
        <w:spacing w:after="0" w:line="360" w:lineRule="auto"/>
        <w:ind w:left="1007" w:leftChars="55" w:hanging="892" w:hangingChars="372"/>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bidi="ar-SA"/>
        </w:rPr>
        <w:t>1.2</w:t>
      </w:r>
      <w:r>
        <w:rPr>
          <w:rFonts w:hint="eastAsia" w:ascii="宋体" w:hAnsi="宋体" w:eastAsia="宋体" w:cs="宋体"/>
          <w:color w:val="auto"/>
          <w:kern w:val="0"/>
          <w:sz w:val="24"/>
          <w:szCs w:val="24"/>
          <w:highlight w:val="none"/>
        </w:rPr>
        <w:t>冷却水：0.8MPa</w:t>
      </w:r>
    </w:p>
    <w:p w14:paraId="2A3B05E1">
      <w:pPr>
        <w:pStyle w:val="2"/>
        <w:keepNext w:val="0"/>
        <w:keepLines w:val="0"/>
        <w:pageBreakBefore w:val="0"/>
        <w:widowControl w:val="0"/>
        <w:numPr>
          <w:ilvl w:val="1"/>
          <w:numId w:val="0"/>
        </w:numPr>
        <w:kinsoku/>
        <w:wordWrap/>
        <w:overflowPunct/>
        <w:topLinePunct w:val="0"/>
        <w:autoSpaceDE/>
        <w:autoSpaceDN/>
        <w:bidi w:val="0"/>
        <w:adjustRightInd/>
        <w:snapToGrid/>
        <w:spacing w:after="0" w:line="360" w:lineRule="auto"/>
        <w:ind w:left="1007" w:leftChars="55" w:hanging="892" w:hangingChars="372"/>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bidi="ar-SA"/>
        </w:rPr>
        <w:t>1.3</w:t>
      </w:r>
      <w:r>
        <w:rPr>
          <w:rFonts w:hint="eastAsia" w:ascii="宋体" w:hAnsi="宋体" w:eastAsia="宋体" w:cs="宋体"/>
          <w:color w:val="auto"/>
          <w:kern w:val="0"/>
          <w:sz w:val="24"/>
          <w:szCs w:val="24"/>
          <w:highlight w:val="none"/>
        </w:rPr>
        <w:t>压缩空气：0.4MPa-0.6MPa</w:t>
      </w:r>
    </w:p>
    <w:p w14:paraId="51C36AFC">
      <w:pPr>
        <w:pStyle w:val="2"/>
        <w:keepNext w:val="0"/>
        <w:keepLines w:val="0"/>
        <w:pageBreakBefore w:val="0"/>
        <w:widowControl w:val="0"/>
        <w:numPr>
          <w:ilvl w:val="1"/>
          <w:numId w:val="0"/>
        </w:numPr>
        <w:kinsoku/>
        <w:wordWrap/>
        <w:overflowPunct/>
        <w:topLinePunct w:val="0"/>
        <w:autoSpaceDE/>
        <w:autoSpaceDN/>
        <w:bidi w:val="0"/>
        <w:adjustRightInd/>
        <w:snapToGrid/>
        <w:spacing w:after="0" w:line="360" w:lineRule="auto"/>
        <w:ind w:left="1007" w:leftChars="55" w:hanging="892" w:hangingChars="372"/>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SA"/>
        </w:rPr>
        <w:t>1.4</w:t>
      </w:r>
      <w:r>
        <w:rPr>
          <w:rFonts w:hint="eastAsia" w:ascii="宋体" w:hAnsi="宋体" w:eastAsia="宋体" w:cs="宋体"/>
          <w:color w:val="auto"/>
          <w:kern w:val="0"/>
          <w:sz w:val="24"/>
          <w:szCs w:val="24"/>
          <w:highlight w:val="none"/>
        </w:rPr>
        <w:t>工作温度：15℃-35℃</w:t>
      </w:r>
    </w:p>
    <w:p w14:paraId="094D4B07">
      <w:pPr>
        <w:bidi w:val="0"/>
        <w:rPr>
          <w:rFonts w:hint="eastAsia"/>
          <w:color w:val="auto"/>
          <w:highlight w:val="none"/>
        </w:rPr>
      </w:pPr>
    </w:p>
    <w:p w14:paraId="35806BBD">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b/>
          <w:color w:val="auto"/>
          <w:sz w:val="24"/>
          <w:szCs w:val="24"/>
          <w:highlight w:val="none"/>
          <w:lang w:eastAsia="zh-CN"/>
        </w:rPr>
      </w:pPr>
      <w:r>
        <w:rPr>
          <w:rFonts w:hint="eastAsia" w:ascii="宋体" w:hAnsi="宋体" w:eastAsia="宋体" w:cs="宋体"/>
          <w:b/>
          <w:color w:val="auto"/>
          <w:sz w:val="24"/>
          <w:szCs w:val="24"/>
          <w:highlight w:val="none"/>
        </w:rPr>
        <w:t>2、购置理由及用途</w:t>
      </w:r>
      <w:r>
        <w:rPr>
          <w:rFonts w:hint="eastAsia" w:ascii="宋体" w:hAnsi="宋体" w:eastAsia="宋体" w:cs="宋体"/>
          <w:b/>
          <w:color w:val="auto"/>
          <w:sz w:val="24"/>
          <w:szCs w:val="24"/>
          <w:highlight w:val="none"/>
          <w:lang w:eastAsia="zh-CN"/>
        </w:rPr>
        <w:t>：</w:t>
      </w:r>
    </w:p>
    <w:p w14:paraId="2D1188DD">
      <w:pPr>
        <w:pStyle w:val="8"/>
        <w:keepNext w:val="0"/>
        <w:keepLines w:val="0"/>
        <w:pageBreakBefore w:val="0"/>
        <w:widowControl/>
        <w:kinsoku/>
        <w:wordWrap/>
        <w:overflowPunct/>
        <w:topLinePunct w:val="0"/>
        <w:autoSpaceDE/>
        <w:autoSpaceDN/>
        <w:bidi w:val="0"/>
        <w:adjustRightInd/>
        <w:snapToGrid/>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透射键合系统采用高能量密度的电子束加热技术，利用无极调节电磁场对电子束流进行聚焦，搭配微区电子引流板，可以直接引导电子束流避开周围基板材料，对元器件焊盘区域进行精准辐照加热，达到键合效果。</w:t>
      </w:r>
    </w:p>
    <w:p w14:paraId="3268C297">
      <w:pPr>
        <w:bidi w:val="0"/>
        <w:rPr>
          <w:rFonts w:hint="eastAsia"/>
          <w:color w:val="auto"/>
          <w:highlight w:val="none"/>
        </w:rPr>
      </w:pPr>
    </w:p>
    <w:p w14:paraId="7FFFB49A">
      <w:pPr>
        <w:keepNext w:val="0"/>
        <w:keepLines w:val="0"/>
        <w:pageBreakBefore w:val="0"/>
        <w:widowControl/>
        <w:tabs>
          <w:tab w:val="left" w:pos="8010"/>
        </w:tabs>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3、技术要求及参数：</w:t>
      </w:r>
      <w:r>
        <w:rPr>
          <w:rFonts w:hint="eastAsia" w:ascii="宋体" w:hAnsi="宋体" w:eastAsia="宋体" w:cs="宋体"/>
          <w:color w:val="auto"/>
          <w:sz w:val="24"/>
          <w:szCs w:val="24"/>
          <w:highlight w:val="none"/>
        </w:rPr>
        <w:t xml:space="preserve"> </w:t>
      </w:r>
    </w:p>
    <w:p w14:paraId="6BA903B4">
      <w:pPr>
        <w:pStyle w:val="2"/>
        <w:keepNext w:val="0"/>
        <w:keepLines w:val="0"/>
        <w:pageBreakBefore w:val="0"/>
        <w:widowControl w:val="0"/>
        <w:kinsoku/>
        <w:wordWrap/>
        <w:overflowPunct/>
        <w:topLinePunct w:val="0"/>
        <w:autoSpaceDE/>
        <w:autoSpaceDN/>
        <w:bidi w:val="0"/>
        <w:adjustRightInd/>
        <w:snapToGrid/>
        <w:spacing w:after="0" w:line="360" w:lineRule="auto"/>
        <w:ind w:left="0" w:leftChars="0" w:firstLine="240" w:firstLineChars="1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kern w:val="0"/>
          <w:sz w:val="24"/>
          <w:szCs w:val="24"/>
          <w:highlight w:val="none"/>
        </w:rPr>
        <w:t>3.1 加速电压：0-60kV可调，稳定度≤1%；</w:t>
      </w:r>
    </w:p>
    <w:p w14:paraId="134B73A6">
      <w:pPr>
        <w:pStyle w:val="2"/>
        <w:keepNext w:val="0"/>
        <w:keepLines w:val="0"/>
        <w:pageBreakBefore w:val="0"/>
        <w:widowControl w:val="0"/>
        <w:kinsoku/>
        <w:wordWrap/>
        <w:overflowPunct/>
        <w:topLinePunct w:val="0"/>
        <w:autoSpaceDE/>
        <w:autoSpaceDN/>
        <w:bidi w:val="0"/>
        <w:adjustRightInd/>
        <w:snapToGrid/>
        <w:spacing w:after="0" w:line="360" w:lineRule="auto"/>
        <w:ind w:left="0" w:leftChars="0" w:firstLine="240" w:firstLineChars="1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kern w:val="0"/>
          <w:sz w:val="24"/>
          <w:szCs w:val="24"/>
          <w:highlight w:val="none"/>
        </w:rPr>
        <w:t>3.2 最大功率：6kW；</w:t>
      </w:r>
    </w:p>
    <w:p w14:paraId="0A3BDAEC">
      <w:pPr>
        <w:pStyle w:val="2"/>
        <w:keepNext w:val="0"/>
        <w:keepLines w:val="0"/>
        <w:pageBreakBefore w:val="0"/>
        <w:widowControl w:val="0"/>
        <w:kinsoku/>
        <w:wordWrap/>
        <w:overflowPunct/>
        <w:topLinePunct w:val="0"/>
        <w:autoSpaceDE/>
        <w:autoSpaceDN/>
        <w:bidi w:val="0"/>
        <w:adjustRightInd/>
        <w:snapToGrid/>
        <w:spacing w:after="0" w:line="360" w:lineRule="auto"/>
        <w:ind w:left="0" w:leftChars="0" w:firstLine="240" w:firstLineChars="1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kern w:val="0"/>
          <w:sz w:val="24"/>
          <w:szCs w:val="24"/>
          <w:highlight w:val="none"/>
        </w:rPr>
        <w:t>3.3 束流调节范围：0-100mA，稳定度≤1%；</w:t>
      </w:r>
    </w:p>
    <w:p w14:paraId="7CA75636">
      <w:pPr>
        <w:pStyle w:val="2"/>
        <w:keepNext w:val="0"/>
        <w:keepLines w:val="0"/>
        <w:pageBreakBefore w:val="0"/>
        <w:widowControl w:val="0"/>
        <w:kinsoku/>
        <w:wordWrap/>
        <w:overflowPunct/>
        <w:topLinePunct w:val="0"/>
        <w:autoSpaceDE/>
        <w:autoSpaceDN/>
        <w:bidi w:val="0"/>
        <w:adjustRightInd/>
        <w:snapToGrid/>
        <w:spacing w:after="0" w:line="360" w:lineRule="auto"/>
        <w:ind w:left="0" w:leftChars="0" w:firstLine="240" w:firstLineChars="1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kern w:val="0"/>
          <w:sz w:val="24"/>
          <w:szCs w:val="24"/>
          <w:highlight w:val="none"/>
        </w:rPr>
        <w:t xml:space="preserve">3.4 工作范围：60-300mm，适配2寸-12寸晶圆； </w:t>
      </w:r>
    </w:p>
    <w:p w14:paraId="042A4614">
      <w:pPr>
        <w:pStyle w:val="2"/>
        <w:keepNext w:val="0"/>
        <w:keepLines w:val="0"/>
        <w:pageBreakBefore w:val="0"/>
        <w:widowControl w:val="0"/>
        <w:kinsoku/>
        <w:wordWrap/>
        <w:overflowPunct/>
        <w:topLinePunct w:val="0"/>
        <w:autoSpaceDE/>
        <w:autoSpaceDN/>
        <w:bidi w:val="0"/>
        <w:adjustRightInd/>
        <w:snapToGrid/>
        <w:spacing w:after="0" w:line="360" w:lineRule="auto"/>
        <w:ind w:left="0" w:leftChars="0" w:firstLine="240" w:firstLineChars="1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kern w:val="0"/>
          <w:sz w:val="24"/>
          <w:szCs w:val="24"/>
          <w:highlight w:val="none"/>
        </w:rPr>
        <w:t>3.5 最大热熔深度：18mm；</w:t>
      </w:r>
    </w:p>
    <w:p w14:paraId="73B57AF5">
      <w:pPr>
        <w:pStyle w:val="2"/>
        <w:keepNext w:val="0"/>
        <w:keepLines w:val="0"/>
        <w:pageBreakBefore w:val="0"/>
        <w:widowControl w:val="0"/>
        <w:kinsoku/>
        <w:wordWrap/>
        <w:overflowPunct/>
        <w:topLinePunct w:val="0"/>
        <w:autoSpaceDE/>
        <w:autoSpaceDN/>
        <w:bidi w:val="0"/>
        <w:adjustRightInd/>
        <w:snapToGrid/>
        <w:spacing w:after="0" w:line="360" w:lineRule="auto"/>
        <w:ind w:left="0" w:leftChars="0" w:firstLine="240" w:firstLineChars="1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kern w:val="0"/>
          <w:sz w:val="24"/>
          <w:szCs w:val="24"/>
          <w:highlight w:val="none"/>
        </w:rPr>
        <w:t>3.6 设备可实现3班连续24小时工作；</w:t>
      </w:r>
    </w:p>
    <w:p w14:paraId="1679FEF2">
      <w:pPr>
        <w:pStyle w:val="2"/>
        <w:keepNext w:val="0"/>
        <w:keepLines w:val="0"/>
        <w:pageBreakBefore w:val="0"/>
        <w:widowControl w:val="0"/>
        <w:kinsoku/>
        <w:wordWrap/>
        <w:overflowPunct/>
        <w:topLinePunct w:val="0"/>
        <w:autoSpaceDE/>
        <w:autoSpaceDN/>
        <w:bidi w:val="0"/>
        <w:adjustRightInd/>
        <w:snapToGrid/>
        <w:spacing w:after="0" w:line="360" w:lineRule="auto"/>
        <w:ind w:left="0" w:leftChars="0" w:firstLine="240" w:firstLineChars="1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kern w:val="0"/>
          <w:sz w:val="24"/>
          <w:szCs w:val="24"/>
          <w:highlight w:val="none"/>
        </w:rPr>
        <w:t>3.7 X射线泄漏量：＜1µGy/h；</w:t>
      </w:r>
    </w:p>
    <w:p w14:paraId="026B0C27">
      <w:pPr>
        <w:pStyle w:val="2"/>
        <w:keepNext w:val="0"/>
        <w:keepLines w:val="0"/>
        <w:pageBreakBefore w:val="0"/>
        <w:widowControl w:val="0"/>
        <w:kinsoku/>
        <w:wordWrap/>
        <w:overflowPunct/>
        <w:topLinePunct w:val="0"/>
        <w:autoSpaceDE/>
        <w:autoSpaceDN/>
        <w:bidi w:val="0"/>
        <w:adjustRightInd/>
        <w:snapToGrid/>
        <w:spacing w:after="0" w:line="360" w:lineRule="auto"/>
        <w:ind w:left="0" w:leftChars="0" w:firstLine="240" w:firstLineChars="1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kern w:val="0"/>
          <w:sz w:val="24"/>
          <w:szCs w:val="24"/>
          <w:highlight w:val="none"/>
        </w:rPr>
        <w:t>3.8 设备具有工艺参数记录和读取功能。在辐照过程中，高压、束流、聚焦电流和辐照速度等参数均可自定义设定；</w:t>
      </w:r>
    </w:p>
    <w:p w14:paraId="0E97F9BB">
      <w:pPr>
        <w:pStyle w:val="2"/>
        <w:keepNext w:val="0"/>
        <w:keepLines w:val="0"/>
        <w:pageBreakBefore w:val="0"/>
        <w:widowControl w:val="0"/>
        <w:kinsoku/>
        <w:wordWrap/>
        <w:overflowPunct/>
        <w:topLinePunct w:val="0"/>
        <w:autoSpaceDE/>
        <w:autoSpaceDN/>
        <w:bidi w:val="0"/>
        <w:adjustRightInd/>
        <w:snapToGrid/>
        <w:spacing w:after="0" w:line="360" w:lineRule="auto"/>
        <w:ind w:left="0" w:leftChars="0" w:firstLine="240" w:firstLineChars="1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kern w:val="0"/>
          <w:sz w:val="24"/>
          <w:szCs w:val="24"/>
          <w:highlight w:val="none"/>
        </w:rPr>
        <w:t>3.9 电源采用高频谐振软开关技术；频率可达35kHz以上，屏幕可实时显示高压电源的工作频率及相关状态</w:t>
      </w:r>
    </w:p>
    <w:p w14:paraId="6B6BCCAD">
      <w:pPr>
        <w:pStyle w:val="2"/>
        <w:keepNext w:val="0"/>
        <w:keepLines w:val="0"/>
        <w:pageBreakBefore w:val="0"/>
        <w:widowControl w:val="0"/>
        <w:kinsoku/>
        <w:wordWrap/>
        <w:overflowPunct/>
        <w:topLinePunct w:val="0"/>
        <w:autoSpaceDE/>
        <w:autoSpaceDN/>
        <w:bidi w:val="0"/>
        <w:adjustRightInd/>
        <w:snapToGrid/>
        <w:spacing w:after="0" w:line="360" w:lineRule="auto"/>
        <w:ind w:left="0" w:leftChars="0" w:firstLine="240" w:firstLineChars="1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kern w:val="0"/>
          <w:sz w:val="24"/>
          <w:szCs w:val="24"/>
          <w:highlight w:val="none"/>
        </w:rPr>
        <w:t xml:space="preserve">3.10 设备采用工控机控制，上位机软件能够实时显示系统状态及相关参数，并能够通过电脑控制整套设备运行； </w:t>
      </w:r>
    </w:p>
    <w:p w14:paraId="60FB3535">
      <w:pPr>
        <w:pStyle w:val="2"/>
        <w:keepNext w:val="0"/>
        <w:keepLines w:val="0"/>
        <w:pageBreakBefore w:val="0"/>
        <w:widowControl w:val="0"/>
        <w:kinsoku/>
        <w:wordWrap/>
        <w:overflowPunct/>
        <w:topLinePunct w:val="0"/>
        <w:autoSpaceDE/>
        <w:autoSpaceDN/>
        <w:bidi w:val="0"/>
        <w:adjustRightInd/>
        <w:snapToGrid/>
        <w:spacing w:after="0" w:line="360" w:lineRule="auto"/>
        <w:ind w:left="0" w:leftChars="0" w:firstLine="240" w:firstLineChars="1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kern w:val="0"/>
          <w:sz w:val="24"/>
          <w:szCs w:val="24"/>
          <w:highlight w:val="none"/>
        </w:rPr>
        <w:t>3.11具有电子束扫描功能，（正弦波、三角波、锯齿波等）三种波形以上可选，正弦波等波形频率不低于2kHz；</w:t>
      </w:r>
    </w:p>
    <w:p w14:paraId="4D221131">
      <w:pPr>
        <w:pStyle w:val="2"/>
        <w:keepNext w:val="0"/>
        <w:keepLines w:val="0"/>
        <w:pageBreakBefore w:val="0"/>
        <w:widowControl w:val="0"/>
        <w:kinsoku/>
        <w:wordWrap/>
        <w:overflowPunct/>
        <w:topLinePunct w:val="0"/>
        <w:autoSpaceDE/>
        <w:autoSpaceDN/>
        <w:bidi w:val="0"/>
        <w:adjustRightInd/>
        <w:snapToGrid/>
        <w:spacing w:after="0" w:line="360" w:lineRule="auto"/>
        <w:ind w:left="0" w:leftChars="0" w:firstLine="240" w:firstLineChars="1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kern w:val="0"/>
          <w:sz w:val="24"/>
          <w:szCs w:val="24"/>
          <w:highlight w:val="none"/>
        </w:rPr>
        <w:t xml:space="preserve">3.12 真空室带有附加辅助照明； </w:t>
      </w:r>
    </w:p>
    <w:p w14:paraId="3B038E70">
      <w:pPr>
        <w:pStyle w:val="2"/>
        <w:keepNext w:val="0"/>
        <w:keepLines w:val="0"/>
        <w:pageBreakBefore w:val="0"/>
        <w:widowControl w:val="0"/>
        <w:kinsoku/>
        <w:wordWrap/>
        <w:overflowPunct/>
        <w:topLinePunct w:val="0"/>
        <w:autoSpaceDE/>
        <w:autoSpaceDN/>
        <w:bidi w:val="0"/>
        <w:adjustRightInd/>
        <w:snapToGrid/>
        <w:spacing w:after="0" w:line="360" w:lineRule="auto"/>
        <w:ind w:left="0" w:leftChars="0" w:firstLine="240" w:firstLineChars="1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kern w:val="0"/>
          <w:sz w:val="24"/>
          <w:szCs w:val="24"/>
          <w:highlight w:val="none"/>
        </w:rPr>
        <w:t>3.13带有附加辅助照明，用于辐照区域观察；</w:t>
      </w:r>
    </w:p>
    <w:p w14:paraId="603D0265">
      <w:pPr>
        <w:pStyle w:val="2"/>
        <w:keepNext w:val="0"/>
        <w:keepLines w:val="0"/>
        <w:pageBreakBefore w:val="0"/>
        <w:widowControl w:val="0"/>
        <w:kinsoku/>
        <w:wordWrap/>
        <w:overflowPunct/>
        <w:topLinePunct w:val="0"/>
        <w:autoSpaceDE/>
        <w:autoSpaceDN/>
        <w:bidi w:val="0"/>
        <w:adjustRightInd/>
        <w:snapToGrid/>
        <w:spacing w:after="0" w:line="360" w:lineRule="auto"/>
        <w:ind w:left="0" w:leftChars="0" w:firstLine="240" w:firstLineChars="1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kern w:val="0"/>
          <w:sz w:val="24"/>
          <w:szCs w:val="24"/>
          <w:highlight w:val="none"/>
        </w:rPr>
        <w:t xml:space="preserve">3.14 光斑直径0mm - 10mm以下可控； </w:t>
      </w:r>
    </w:p>
    <w:p w14:paraId="7B313933">
      <w:pPr>
        <w:pStyle w:val="2"/>
        <w:keepNext w:val="0"/>
        <w:keepLines w:val="0"/>
        <w:pageBreakBefore w:val="0"/>
        <w:widowControl w:val="0"/>
        <w:kinsoku/>
        <w:wordWrap/>
        <w:overflowPunct/>
        <w:topLinePunct w:val="0"/>
        <w:autoSpaceDE/>
        <w:autoSpaceDN/>
        <w:bidi w:val="0"/>
        <w:adjustRightInd/>
        <w:snapToGrid/>
        <w:spacing w:after="0" w:line="360" w:lineRule="auto"/>
        <w:ind w:left="0" w:leftChars="0" w:firstLine="240" w:firstLineChars="1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kern w:val="0"/>
          <w:sz w:val="24"/>
          <w:szCs w:val="24"/>
          <w:highlight w:val="none"/>
        </w:rPr>
        <w:t>3.15 局部定位测温传感器，温度测量范围0℃-1000℃，测温精度±0.1℃。</w:t>
      </w:r>
    </w:p>
    <w:p w14:paraId="604ECEE6">
      <w:pPr>
        <w:pStyle w:val="2"/>
        <w:keepNext w:val="0"/>
        <w:keepLines w:val="0"/>
        <w:pageBreakBefore w:val="0"/>
        <w:widowControl w:val="0"/>
        <w:kinsoku/>
        <w:wordWrap/>
        <w:overflowPunct/>
        <w:topLinePunct w:val="0"/>
        <w:autoSpaceDE/>
        <w:autoSpaceDN/>
        <w:bidi w:val="0"/>
        <w:adjustRightInd/>
        <w:snapToGrid/>
        <w:spacing w:after="0" w:line="360" w:lineRule="auto"/>
        <w:ind w:left="0" w:leftChars="0" w:firstLine="240" w:firstLineChars="1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▲3.16 电子束束流调节范围0-110mA</w:t>
      </w:r>
    </w:p>
    <w:p w14:paraId="208E266E">
      <w:pPr>
        <w:pStyle w:val="2"/>
        <w:keepNext w:val="0"/>
        <w:keepLines w:val="0"/>
        <w:pageBreakBefore w:val="0"/>
        <w:widowControl w:val="0"/>
        <w:kinsoku/>
        <w:wordWrap/>
        <w:overflowPunct/>
        <w:topLinePunct w:val="0"/>
        <w:autoSpaceDE/>
        <w:autoSpaceDN/>
        <w:bidi w:val="0"/>
        <w:adjustRightInd/>
        <w:snapToGrid/>
        <w:spacing w:after="0" w:line="360" w:lineRule="auto"/>
        <w:ind w:left="0" w:leftChars="0" w:firstLine="240" w:firstLineChars="100"/>
        <w:textAlignment w:val="auto"/>
        <w:rPr>
          <w:rFonts w:hint="eastAsia" w:ascii="宋体" w:hAnsi="宋体" w:eastAsia="宋体" w:cs="宋体"/>
          <w:color w:val="auto"/>
          <w:kern w:val="0"/>
          <w:sz w:val="24"/>
          <w:szCs w:val="24"/>
          <w:highlight w:val="none"/>
          <w:lang w:eastAsia="zh-CN"/>
        </w:rPr>
      </w:pPr>
      <w:bookmarkStart w:id="0" w:name="OLE_LINK17"/>
      <w:r>
        <w:rPr>
          <w:rFonts w:hint="eastAsia" w:ascii="宋体" w:hAnsi="宋体" w:eastAsia="宋体" w:cs="宋体"/>
          <w:color w:val="auto"/>
          <w:kern w:val="0"/>
          <w:sz w:val="24"/>
          <w:szCs w:val="24"/>
          <w:highlight w:val="none"/>
        </w:rPr>
        <w:t>▲</w:t>
      </w:r>
      <w:bookmarkEnd w:id="0"/>
      <w:r>
        <w:rPr>
          <w:rFonts w:hint="eastAsia" w:ascii="宋体" w:hAnsi="宋体" w:eastAsia="宋体" w:cs="宋体"/>
          <w:color w:val="auto"/>
          <w:kern w:val="0"/>
          <w:sz w:val="24"/>
          <w:szCs w:val="24"/>
          <w:highlight w:val="none"/>
        </w:rPr>
        <w:t>3.17 配备电动调节的观察系统</w:t>
      </w:r>
      <w:r>
        <w:rPr>
          <w:rFonts w:hint="eastAsia" w:ascii="宋体" w:hAnsi="宋体" w:eastAsia="宋体" w:cs="宋体"/>
          <w:color w:val="auto"/>
          <w:kern w:val="0"/>
          <w:sz w:val="24"/>
          <w:szCs w:val="24"/>
          <w:highlight w:val="none"/>
          <w:lang w:eastAsia="zh-CN"/>
        </w:rPr>
        <w:t>；</w:t>
      </w:r>
    </w:p>
    <w:p w14:paraId="1D171637">
      <w:pPr>
        <w:keepNext w:val="0"/>
        <w:keepLines w:val="0"/>
        <w:pageBreakBefore w:val="0"/>
        <w:widowControl w:val="0"/>
        <w:kinsoku/>
        <w:wordWrap/>
        <w:overflowPunct/>
        <w:topLinePunct w:val="0"/>
        <w:autoSpaceDE/>
        <w:autoSpaceDN/>
        <w:bidi w:val="0"/>
        <w:adjustRightInd/>
        <w:snapToGrid/>
        <w:spacing w:line="360" w:lineRule="auto"/>
        <w:ind w:left="0" w:leftChars="0" w:firstLine="240" w:firstLineChars="100"/>
        <w:textAlignment w:val="auto"/>
        <w:rPr>
          <w:rFonts w:hint="eastAsia" w:ascii="宋体" w:hAnsi="宋体" w:eastAsia="宋体" w:cs="宋体"/>
          <w:color w:val="auto"/>
          <w:kern w:val="0"/>
          <w:sz w:val="24"/>
          <w:szCs w:val="24"/>
          <w:highlight w:val="none"/>
          <w:lang w:eastAsia="zh-CN"/>
        </w:rPr>
      </w:pPr>
      <w:bookmarkStart w:id="1" w:name="OLE_LINK18"/>
      <w:r>
        <w:rPr>
          <w:rFonts w:hint="eastAsia" w:ascii="宋体" w:hAnsi="宋体" w:eastAsia="宋体" w:cs="宋体"/>
          <w:color w:val="auto"/>
          <w:kern w:val="0"/>
          <w:sz w:val="24"/>
          <w:szCs w:val="24"/>
          <w:highlight w:val="none"/>
        </w:rPr>
        <w:t>▲</w:t>
      </w:r>
      <w:bookmarkEnd w:id="1"/>
      <w:r>
        <w:rPr>
          <w:rFonts w:hint="eastAsia" w:ascii="宋体" w:hAnsi="宋体" w:eastAsia="宋体" w:cs="宋体"/>
          <w:color w:val="auto"/>
          <w:kern w:val="0"/>
          <w:sz w:val="24"/>
          <w:szCs w:val="24"/>
          <w:highlight w:val="none"/>
        </w:rPr>
        <w:t>3.18 电子枪系统采用快速维护结构</w:t>
      </w:r>
      <w:r>
        <w:rPr>
          <w:rFonts w:hint="eastAsia" w:ascii="宋体" w:hAnsi="宋体" w:eastAsia="宋体" w:cs="宋体"/>
          <w:color w:val="auto"/>
          <w:kern w:val="0"/>
          <w:sz w:val="24"/>
          <w:szCs w:val="24"/>
          <w:highlight w:val="none"/>
          <w:lang w:eastAsia="zh-CN"/>
        </w:rPr>
        <w:t>；</w:t>
      </w:r>
    </w:p>
    <w:p w14:paraId="5B07A676">
      <w:pPr>
        <w:bidi w:val="0"/>
        <w:rPr>
          <w:rFonts w:hint="eastAsia"/>
          <w:color w:val="auto"/>
          <w:highlight w:val="none"/>
        </w:rPr>
      </w:pPr>
    </w:p>
    <w:p w14:paraId="4F2DEF4D">
      <w:pPr>
        <w:widowControl/>
        <w:snapToGrid w:val="0"/>
        <w:spacing w:before="156" w:beforeLines="50" w:line="360" w:lineRule="auto"/>
        <w:rPr>
          <w:b/>
          <w:color w:val="auto"/>
          <w:sz w:val="24"/>
          <w:highlight w:val="none"/>
        </w:rPr>
      </w:pPr>
      <w:r>
        <w:rPr>
          <w:rFonts w:hint="eastAsia" w:ascii="宋体" w:hAnsi="宋体" w:eastAsia="宋体" w:cs="宋体"/>
          <w:color w:val="auto"/>
          <w:sz w:val="24"/>
          <w:szCs w:val="24"/>
          <w:highlight w:val="none"/>
        </w:rPr>
        <w:t>★</w:t>
      </w:r>
      <w:r>
        <w:rPr>
          <w:b/>
          <w:color w:val="auto"/>
          <w:sz w:val="24"/>
          <w:highlight w:val="none"/>
        </w:rPr>
        <w:t>4、配置清单及零配件（包括专用工具）：</w:t>
      </w:r>
    </w:p>
    <w:tbl>
      <w:tblPr>
        <w:tblStyle w:val="6"/>
        <w:tblW w:w="9067" w:type="dxa"/>
        <w:jc w:val="center"/>
        <w:tblLayout w:type="fixed"/>
        <w:tblCellMar>
          <w:top w:w="0" w:type="dxa"/>
          <w:left w:w="108" w:type="dxa"/>
          <w:bottom w:w="0" w:type="dxa"/>
          <w:right w:w="108" w:type="dxa"/>
        </w:tblCellMar>
      </w:tblPr>
      <w:tblGrid>
        <w:gridCol w:w="950"/>
        <w:gridCol w:w="6122"/>
        <w:gridCol w:w="1047"/>
        <w:gridCol w:w="948"/>
      </w:tblGrid>
      <w:tr w14:paraId="2F08643C">
        <w:tblPrEx>
          <w:tblCellMar>
            <w:top w:w="0" w:type="dxa"/>
            <w:left w:w="108" w:type="dxa"/>
            <w:bottom w:w="0" w:type="dxa"/>
            <w:right w:w="108" w:type="dxa"/>
          </w:tblCellMar>
        </w:tblPrEx>
        <w:trPr>
          <w:trHeight w:val="280" w:hRule="atLeast"/>
          <w:jc w:val="center"/>
        </w:trPr>
        <w:tc>
          <w:tcPr>
            <w:tcW w:w="950" w:type="dxa"/>
            <w:tcBorders>
              <w:top w:val="single" w:color="auto" w:sz="4" w:space="0"/>
              <w:left w:val="single" w:color="auto" w:sz="4" w:space="0"/>
              <w:bottom w:val="single" w:color="auto" w:sz="4" w:space="0"/>
              <w:right w:val="single" w:color="auto" w:sz="4" w:space="0"/>
            </w:tcBorders>
            <w:noWrap/>
            <w:vAlign w:val="center"/>
          </w:tcPr>
          <w:p w14:paraId="421BDA97">
            <w:pPr>
              <w:widowControl/>
              <w:snapToGrid w:val="0"/>
              <w:spacing w:before="156" w:beforeLines="50" w:line="360" w:lineRule="auto"/>
              <w:jc w:val="center"/>
              <w:rPr>
                <w:b/>
                <w:bCs/>
                <w:color w:val="auto"/>
                <w:sz w:val="24"/>
                <w:highlight w:val="none"/>
              </w:rPr>
            </w:pPr>
            <w:r>
              <w:rPr>
                <w:b/>
                <w:bCs/>
                <w:color w:val="auto"/>
                <w:sz w:val="24"/>
                <w:highlight w:val="none"/>
              </w:rPr>
              <w:t>序号</w:t>
            </w:r>
          </w:p>
        </w:tc>
        <w:tc>
          <w:tcPr>
            <w:tcW w:w="6122" w:type="dxa"/>
            <w:tcBorders>
              <w:top w:val="single" w:color="auto" w:sz="4" w:space="0"/>
              <w:left w:val="nil"/>
              <w:bottom w:val="single" w:color="auto" w:sz="4" w:space="0"/>
              <w:right w:val="single" w:color="auto" w:sz="4" w:space="0"/>
            </w:tcBorders>
            <w:noWrap/>
            <w:vAlign w:val="center"/>
          </w:tcPr>
          <w:p w14:paraId="5432A532">
            <w:pPr>
              <w:widowControl/>
              <w:snapToGrid w:val="0"/>
              <w:spacing w:before="156" w:beforeLines="50" w:line="360" w:lineRule="auto"/>
              <w:jc w:val="center"/>
              <w:rPr>
                <w:b/>
                <w:bCs/>
                <w:color w:val="auto"/>
                <w:sz w:val="24"/>
                <w:highlight w:val="none"/>
              </w:rPr>
            </w:pPr>
            <w:r>
              <w:rPr>
                <w:b/>
                <w:bCs/>
                <w:color w:val="auto"/>
                <w:sz w:val="24"/>
                <w:highlight w:val="none"/>
              </w:rPr>
              <w:t>名称</w:t>
            </w:r>
          </w:p>
        </w:tc>
        <w:tc>
          <w:tcPr>
            <w:tcW w:w="1047" w:type="dxa"/>
            <w:tcBorders>
              <w:top w:val="single" w:color="auto" w:sz="4" w:space="0"/>
              <w:left w:val="nil"/>
              <w:bottom w:val="single" w:color="auto" w:sz="4" w:space="0"/>
              <w:right w:val="single" w:color="auto" w:sz="4" w:space="0"/>
            </w:tcBorders>
            <w:noWrap/>
            <w:vAlign w:val="center"/>
          </w:tcPr>
          <w:p w14:paraId="7D321F18">
            <w:pPr>
              <w:widowControl/>
              <w:snapToGrid w:val="0"/>
              <w:spacing w:before="156" w:beforeLines="50" w:line="360" w:lineRule="auto"/>
              <w:jc w:val="center"/>
              <w:rPr>
                <w:b/>
                <w:bCs/>
                <w:color w:val="auto"/>
                <w:sz w:val="24"/>
                <w:highlight w:val="none"/>
              </w:rPr>
            </w:pPr>
            <w:r>
              <w:rPr>
                <w:b/>
                <w:bCs/>
                <w:color w:val="auto"/>
                <w:sz w:val="24"/>
                <w:highlight w:val="none"/>
              </w:rPr>
              <w:t>单位</w:t>
            </w:r>
          </w:p>
        </w:tc>
        <w:tc>
          <w:tcPr>
            <w:tcW w:w="948" w:type="dxa"/>
            <w:tcBorders>
              <w:top w:val="single" w:color="auto" w:sz="4" w:space="0"/>
              <w:left w:val="nil"/>
              <w:bottom w:val="single" w:color="auto" w:sz="4" w:space="0"/>
              <w:right w:val="single" w:color="auto" w:sz="4" w:space="0"/>
            </w:tcBorders>
            <w:noWrap/>
            <w:vAlign w:val="center"/>
          </w:tcPr>
          <w:p w14:paraId="5EDA3738">
            <w:pPr>
              <w:widowControl/>
              <w:snapToGrid w:val="0"/>
              <w:spacing w:before="156" w:beforeLines="50" w:line="360" w:lineRule="auto"/>
              <w:jc w:val="center"/>
              <w:rPr>
                <w:b/>
                <w:bCs/>
                <w:color w:val="auto"/>
                <w:sz w:val="24"/>
                <w:highlight w:val="none"/>
              </w:rPr>
            </w:pPr>
            <w:r>
              <w:rPr>
                <w:b/>
                <w:bCs/>
                <w:color w:val="auto"/>
                <w:sz w:val="24"/>
                <w:highlight w:val="none"/>
              </w:rPr>
              <w:t>数量</w:t>
            </w:r>
          </w:p>
        </w:tc>
      </w:tr>
      <w:tr w14:paraId="3C6908A1">
        <w:tblPrEx>
          <w:tblCellMar>
            <w:top w:w="0" w:type="dxa"/>
            <w:left w:w="108" w:type="dxa"/>
            <w:bottom w:w="0" w:type="dxa"/>
            <w:right w:w="108" w:type="dxa"/>
          </w:tblCellMar>
        </w:tblPrEx>
        <w:trPr>
          <w:trHeight w:val="280" w:hRule="atLeast"/>
          <w:jc w:val="center"/>
        </w:trPr>
        <w:tc>
          <w:tcPr>
            <w:tcW w:w="950" w:type="dxa"/>
            <w:tcBorders>
              <w:top w:val="single" w:color="auto" w:sz="4" w:space="0"/>
              <w:left w:val="single" w:color="auto" w:sz="4" w:space="0"/>
              <w:bottom w:val="single" w:color="auto" w:sz="4" w:space="0"/>
              <w:right w:val="single" w:color="auto" w:sz="4" w:space="0"/>
            </w:tcBorders>
            <w:noWrap/>
            <w:vAlign w:val="center"/>
          </w:tcPr>
          <w:p w14:paraId="5EFF1F7C">
            <w:pPr>
              <w:widowControl/>
              <w:snapToGrid w:val="0"/>
              <w:spacing w:before="156" w:beforeLines="50" w:line="360" w:lineRule="auto"/>
              <w:jc w:val="center"/>
              <w:rPr>
                <w:color w:val="auto"/>
                <w:sz w:val="24"/>
                <w:highlight w:val="none"/>
              </w:rPr>
            </w:pPr>
            <w:r>
              <w:rPr>
                <w:rFonts w:hint="eastAsia" w:ascii="宋体" w:hAnsi="宋体" w:cs="宋体"/>
                <w:color w:val="auto"/>
                <w:sz w:val="24"/>
                <w:highlight w:val="none"/>
              </w:rPr>
              <w:t>1</w:t>
            </w:r>
          </w:p>
        </w:tc>
        <w:tc>
          <w:tcPr>
            <w:tcW w:w="6122" w:type="dxa"/>
            <w:tcBorders>
              <w:top w:val="single" w:color="auto" w:sz="4" w:space="0"/>
              <w:left w:val="single" w:color="auto" w:sz="4" w:space="0"/>
              <w:bottom w:val="single" w:color="auto" w:sz="4" w:space="0"/>
              <w:right w:val="single" w:color="auto" w:sz="4" w:space="0"/>
            </w:tcBorders>
            <w:noWrap/>
            <w:vAlign w:val="center"/>
          </w:tcPr>
          <w:p w14:paraId="2C8B559C">
            <w:pPr>
              <w:widowControl/>
              <w:snapToGrid w:val="0"/>
              <w:spacing w:before="156" w:beforeLines="50" w:line="360" w:lineRule="auto"/>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微区电子透射键合系统</w:t>
            </w:r>
            <w:r>
              <w:rPr>
                <w:rFonts w:hint="eastAsia" w:ascii="宋体" w:hAnsi="宋体" w:eastAsia="宋体" w:cs="宋体"/>
                <w:color w:val="auto"/>
                <w:sz w:val="24"/>
                <w:szCs w:val="24"/>
                <w:highlight w:val="none"/>
              </w:rPr>
              <w:t>使用说明书（包含结构框图、安装图、线缆连接表等）</w:t>
            </w:r>
          </w:p>
        </w:tc>
        <w:tc>
          <w:tcPr>
            <w:tcW w:w="1047" w:type="dxa"/>
            <w:tcBorders>
              <w:top w:val="single" w:color="auto" w:sz="4" w:space="0"/>
              <w:left w:val="single" w:color="auto" w:sz="4" w:space="0"/>
              <w:bottom w:val="single" w:color="auto" w:sz="4" w:space="0"/>
              <w:right w:val="single" w:color="auto" w:sz="4" w:space="0"/>
            </w:tcBorders>
            <w:noWrap/>
            <w:vAlign w:val="center"/>
          </w:tcPr>
          <w:p w14:paraId="5DC4A40A">
            <w:pPr>
              <w:widowControl/>
              <w:snapToGrid w:val="0"/>
              <w:spacing w:before="156" w:beforeLines="50"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948" w:type="dxa"/>
            <w:tcBorders>
              <w:top w:val="single" w:color="auto" w:sz="4" w:space="0"/>
              <w:left w:val="single" w:color="auto" w:sz="4" w:space="0"/>
              <w:bottom w:val="single" w:color="auto" w:sz="4" w:space="0"/>
              <w:right w:val="single" w:color="auto" w:sz="4" w:space="0"/>
            </w:tcBorders>
            <w:noWrap/>
            <w:vAlign w:val="center"/>
          </w:tcPr>
          <w:p w14:paraId="6DB1C4FB">
            <w:pPr>
              <w:widowControl/>
              <w:snapToGrid w:val="0"/>
              <w:spacing w:before="156" w:beforeLines="50"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r>
      <w:tr w14:paraId="4084951C">
        <w:tblPrEx>
          <w:tblCellMar>
            <w:top w:w="0" w:type="dxa"/>
            <w:left w:w="108" w:type="dxa"/>
            <w:bottom w:w="0" w:type="dxa"/>
            <w:right w:w="108" w:type="dxa"/>
          </w:tblCellMar>
        </w:tblPrEx>
        <w:trPr>
          <w:trHeight w:val="280" w:hRule="atLeast"/>
          <w:jc w:val="center"/>
        </w:trPr>
        <w:tc>
          <w:tcPr>
            <w:tcW w:w="950" w:type="dxa"/>
            <w:tcBorders>
              <w:top w:val="single" w:color="auto" w:sz="4" w:space="0"/>
              <w:left w:val="single" w:color="auto" w:sz="4" w:space="0"/>
              <w:bottom w:val="single" w:color="auto" w:sz="4" w:space="0"/>
              <w:right w:val="single" w:color="auto" w:sz="4" w:space="0"/>
            </w:tcBorders>
            <w:noWrap/>
            <w:vAlign w:val="center"/>
          </w:tcPr>
          <w:p w14:paraId="3965735C">
            <w:pPr>
              <w:widowControl/>
              <w:snapToGrid w:val="0"/>
              <w:spacing w:before="156" w:beforeLines="50" w:line="360" w:lineRule="auto"/>
              <w:jc w:val="center"/>
              <w:rPr>
                <w:color w:val="auto"/>
                <w:sz w:val="24"/>
                <w:highlight w:val="none"/>
              </w:rPr>
            </w:pPr>
            <w:r>
              <w:rPr>
                <w:rFonts w:hint="eastAsia" w:ascii="宋体" w:hAnsi="宋体" w:cs="宋体"/>
                <w:color w:val="auto"/>
                <w:sz w:val="24"/>
                <w:highlight w:val="none"/>
              </w:rPr>
              <w:t>2</w:t>
            </w:r>
          </w:p>
        </w:tc>
        <w:tc>
          <w:tcPr>
            <w:tcW w:w="6122" w:type="dxa"/>
            <w:tcBorders>
              <w:top w:val="single" w:color="auto" w:sz="4" w:space="0"/>
              <w:left w:val="single" w:color="auto" w:sz="4" w:space="0"/>
              <w:bottom w:val="single" w:color="auto" w:sz="4" w:space="0"/>
              <w:right w:val="single" w:color="auto" w:sz="4" w:space="0"/>
            </w:tcBorders>
            <w:noWrap/>
            <w:vAlign w:val="top"/>
          </w:tcPr>
          <w:p w14:paraId="36B64892">
            <w:pPr>
              <w:widowControl/>
              <w:snapToGrid w:val="0"/>
              <w:spacing w:before="156" w:beforeLines="5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分子泵</w:t>
            </w:r>
          </w:p>
        </w:tc>
        <w:tc>
          <w:tcPr>
            <w:tcW w:w="1047" w:type="dxa"/>
            <w:tcBorders>
              <w:top w:val="single" w:color="auto" w:sz="4" w:space="0"/>
              <w:left w:val="single" w:color="auto" w:sz="4" w:space="0"/>
              <w:bottom w:val="single" w:color="auto" w:sz="4" w:space="0"/>
              <w:right w:val="single" w:color="auto" w:sz="4" w:space="0"/>
            </w:tcBorders>
            <w:noWrap/>
            <w:vAlign w:val="top"/>
          </w:tcPr>
          <w:p w14:paraId="21AEC8B3">
            <w:pPr>
              <w:widowControl/>
              <w:snapToGrid w:val="0"/>
              <w:spacing w:before="156" w:beforeLines="50"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948" w:type="dxa"/>
            <w:tcBorders>
              <w:top w:val="single" w:color="auto" w:sz="4" w:space="0"/>
              <w:left w:val="single" w:color="auto" w:sz="4" w:space="0"/>
              <w:bottom w:val="single" w:color="auto" w:sz="4" w:space="0"/>
              <w:right w:val="single" w:color="auto" w:sz="4" w:space="0"/>
            </w:tcBorders>
            <w:noWrap/>
            <w:vAlign w:val="top"/>
          </w:tcPr>
          <w:p w14:paraId="75CBD8A3">
            <w:pPr>
              <w:widowControl/>
              <w:snapToGrid w:val="0"/>
              <w:spacing w:before="156" w:beforeLines="50"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r>
      <w:tr w14:paraId="21F30DAF">
        <w:tblPrEx>
          <w:tblCellMar>
            <w:top w:w="0" w:type="dxa"/>
            <w:left w:w="108" w:type="dxa"/>
            <w:bottom w:w="0" w:type="dxa"/>
            <w:right w:w="108" w:type="dxa"/>
          </w:tblCellMar>
        </w:tblPrEx>
        <w:trPr>
          <w:trHeight w:val="280" w:hRule="atLeast"/>
          <w:jc w:val="center"/>
        </w:trPr>
        <w:tc>
          <w:tcPr>
            <w:tcW w:w="950" w:type="dxa"/>
            <w:tcBorders>
              <w:top w:val="single" w:color="auto" w:sz="4" w:space="0"/>
              <w:left w:val="single" w:color="auto" w:sz="4" w:space="0"/>
              <w:bottom w:val="single" w:color="auto" w:sz="4" w:space="0"/>
              <w:right w:val="single" w:color="auto" w:sz="4" w:space="0"/>
            </w:tcBorders>
            <w:noWrap/>
            <w:vAlign w:val="center"/>
          </w:tcPr>
          <w:p w14:paraId="643B1265">
            <w:pPr>
              <w:widowControl/>
              <w:snapToGrid w:val="0"/>
              <w:spacing w:before="156" w:beforeLines="50" w:line="360" w:lineRule="auto"/>
              <w:jc w:val="center"/>
              <w:rPr>
                <w:color w:val="auto"/>
                <w:sz w:val="24"/>
                <w:highlight w:val="none"/>
              </w:rPr>
            </w:pPr>
            <w:r>
              <w:rPr>
                <w:rFonts w:hint="eastAsia" w:ascii="宋体" w:hAnsi="宋体" w:cs="宋体"/>
                <w:color w:val="auto"/>
                <w:sz w:val="24"/>
                <w:highlight w:val="none"/>
              </w:rPr>
              <w:t>3</w:t>
            </w:r>
          </w:p>
        </w:tc>
        <w:tc>
          <w:tcPr>
            <w:tcW w:w="6122" w:type="dxa"/>
            <w:tcBorders>
              <w:top w:val="single" w:color="auto" w:sz="4" w:space="0"/>
              <w:left w:val="single" w:color="auto" w:sz="4" w:space="0"/>
              <w:bottom w:val="single" w:color="auto" w:sz="4" w:space="0"/>
              <w:right w:val="single" w:color="auto" w:sz="4" w:space="0"/>
            </w:tcBorders>
            <w:noWrap/>
            <w:vAlign w:val="top"/>
          </w:tcPr>
          <w:p w14:paraId="281DE9B6">
            <w:pPr>
              <w:widowControl/>
              <w:snapToGrid w:val="0"/>
              <w:spacing w:before="156" w:beforeLines="5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干泵</w:t>
            </w:r>
          </w:p>
        </w:tc>
        <w:tc>
          <w:tcPr>
            <w:tcW w:w="1047" w:type="dxa"/>
            <w:tcBorders>
              <w:top w:val="single" w:color="auto" w:sz="4" w:space="0"/>
              <w:left w:val="single" w:color="auto" w:sz="4" w:space="0"/>
              <w:bottom w:val="single" w:color="auto" w:sz="4" w:space="0"/>
              <w:right w:val="single" w:color="auto" w:sz="4" w:space="0"/>
            </w:tcBorders>
            <w:noWrap/>
            <w:vAlign w:val="top"/>
          </w:tcPr>
          <w:p w14:paraId="157F12DF">
            <w:pPr>
              <w:widowControl/>
              <w:snapToGrid w:val="0"/>
              <w:spacing w:before="156" w:beforeLines="50"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948" w:type="dxa"/>
            <w:tcBorders>
              <w:top w:val="single" w:color="auto" w:sz="4" w:space="0"/>
              <w:left w:val="single" w:color="auto" w:sz="4" w:space="0"/>
              <w:bottom w:val="single" w:color="auto" w:sz="4" w:space="0"/>
              <w:right w:val="single" w:color="auto" w:sz="4" w:space="0"/>
            </w:tcBorders>
            <w:noWrap/>
            <w:vAlign w:val="top"/>
          </w:tcPr>
          <w:p w14:paraId="7A08A390">
            <w:pPr>
              <w:widowControl/>
              <w:snapToGrid w:val="0"/>
              <w:spacing w:before="156" w:beforeLines="50"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r>
      <w:tr w14:paraId="5A2E74B8">
        <w:tblPrEx>
          <w:tblCellMar>
            <w:top w:w="0" w:type="dxa"/>
            <w:left w:w="108" w:type="dxa"/>
            <w:bottom w:w="0" w:type="dxa"/>
            <w:right w:w="108" w:type="dxa"/>
          </w:tblCellMar>
        </w:tblPrEx>
        <w:trPr>
          <w:trHeight w:val="280" w:hRule="atLeast"/>
          <w:jc w:val="center"/>
        </w:trPr>
        <w:tc>
          <w:tcPr>
            <w:tcW w:w="950" w:type="dxa"/>
            <w:tcBorders>
              <w:top w:val="single" w:color="auto" w:sz="4" w:space="0"/>
              <w:left w:val="single" w:color="auto" w:sz="4" w:space="0"/>
              <w:bottom w:val="single" w:color="auto" w:sz="4" w:space="0"/>
              <w:right w:val="single" w:color="auto" w:sz="4" w:space="0"/>
            </w:tcBorders>
            <w:noWrap/>
            <w:vAlign w:val="center"/>
          </w:tcPr>
          <w:p w14:paraId="0A96787D">
            <w:pPr>
              <w:widowControl/>
              <w:snapToGrid w:val="0"/>
              <w:spacing w:before="156" w:beforeLines="50" w:line="360" w:lineRule="auto"/>
              <w:jc w:val="center"/>
              <w:rPr>
                <w:color w:val="auto"/>
                <w:sz w:val="24"/>
                <w:highlight w:val="none"/>
              </w:rPr>
            </w:pPr>
            <w:r>
              <w:rPr>
                <w:rFonts w:hint="eastAsia" w:ascii="宋体" w:hAnsi="宋体" w:cs="宋体"/>
                <w:color w:val="auto"/>
                <w:sz w:val="24"/>
                <w:highlight w:val="none"/>
              </w:rPr>
              <w:t>4</w:t>
            </w:r>
          </w:p>
        </w:tc>
        <w:tc>
          <w:tcPr>
            <w:tcW w:w="6122" w:type="dxa"/>
            <w:tcBorders>
              <w:top w:val="single" w:color="auto" w:sz="4" w:space="0"/>
              <w:left w:val="single" w:color="auto" w:sz="4" w:space="0"/>
              <w:bottom w:val="single" w:color="auto" w:sz="4" w:space="0"/>
              <w:right w:val="single" w:color="auto" w:sz="4" w:space="0"/>
            </w:tcBorders>
            <w:noWrap/>
            <w:vAlign w:val="top"/>
          </w:tcPr>
          <w:p w14:paraId="4815DC20">
            <w:pPr>
              <w:widowControl/>
              <w:snapToGrid w:val="0"/>
              <w:spacing w:before="156" w:beforeLines="5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真空规</w:t>
            </w:r>
          </w:p>
        </w:tc>
        <w:tc>
          <w:tcPr>
            <w:tcW w:w="1047" w:type="dxa"/>
            <w:tcBorders>
              <w:top w:val="single" w:color="auto" w:sz="4" w:space="0"/>
              <w:left w:val="single" w:color="auto" w:sz="4" w:space="0"/>
              <w:bottom w:val="single" w:color="auto" w:sz="4" w:space="0"/>
              <w:right w:val="single" w:color="auto" w:sz="4" w:space="0"/>
            </w:tcBorders>
            <w:noWrap/>
            <w:vAlign w:val="top"/>
          </w:tcPr>
          <w:p w14:paraId="7667CCCC">
            <w:pPr>
              <w:widowControl/>
              <w:snapToGrid w:val="0"/>
              <w:spacing w:before="156" w:beforeLines="50"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948" w:type="dxa"/>
            <w:tcBorders>
              <w:top w:val="single" w:color="auto" w:sz="4" w:space="0"/>
              <w:left w:val="single" w:color="auto" w:sz="4" w:space="0"/>
              <w:bottom w:val="single" w:color="auto" w:sz="4" w:space="0"/>
              <w:right w:val="single" w:color="auto" w:sz="4" w:space="0"/>
            </w:tcBorders>
            <w:noWrap/>
            <w:vAlign w:val="top"/>
          </w:tcPr>
          <w:p w14:paraId="585D691A">
            <w:pPr>
              <w:widowControl/>
              <w:snapToGrid w:val="0"/>
              <w:spacing w:before="156" w:beforeLines="50"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r>
      <w:tr w14:paraId="22D24584">
        <w:tblPrEx>
          <w:tblCellMar>
            <w:top w:w="0" w:type="dxa"/>
            <w:left w:w="108" w:type="dxa"/>
            <w:bottom w:w="0" w:type="dxa"/>
            <w:right w:w="108" w:type="dxa"/>
          </w:tblCellMar>
        </w:tblPrEx>
        <w:trPr>
          <w:trHeight w:val="280" w:hRule="atLeast"/>
          <w:jc w:val="center"/>
        </w:trPr>
        <w:tc>
          <w:tcPr>
            <w:tcW w:w="950" w:type="dxa"/>
            <w:tcBorders>
              <w:top w:val="single" w:color="auto" w:sz="4" w:space="0"/>
              <w:left w:val="single" w:color="auto" w:sz="4" w:space="0"/>
              <w:bottom w:val="single" w:color="auto" w:sz="4" w:space="0"/>
              <w:right w:val="single" w:color="auto" w:sz="4" w:space="0"/>
            </w:tcBorders>
            <w:noWrap/>
            <w:vAlign w:val="center"/>
          </w:tcPr>
          <w:p w14:paraId="50BDCF6A">
            <w:pPr>
              <w:widowControl/>
              <w:snapToGrid w:val="0"/>
              <w:spacing w:before="156" w:beforeLines="50" w:line="360" w:lineRule="auto"/>
              <w:jc w:val="center"/>
              <w:rPr>
                <w:color w:val="auto"/>
                <w:sz w:val="24"/>
                <w:highlight w:val="none"/>
              </w:rPr>
            </w:pPr>
            <w:r>
              <w:rPr>
                <w:rFonts w:hint="eastAsia" w:ascii="宋体" w:hAnsi="宋体" w:cs="宋体"/>
                <w:color w:val="auto"/>
                <w:sz w:val="24"/>
                <w:highlight w:val="none"/>
              </w:rPr>
              <w:t>5</w:t>
            </w:r>
          </w:p>
        </w:tc>
        <w:tc>
          <w:tcPr>
            <w:tcW w:w="6122" w:type="dxa"/>
            <w:tcBorders>
              <w:top w:val="single" w:color="auto" w:sz="4" w:space="0"/>
              <w:left w:val="single" w:color="auto" w:sz="4" w:space="0"/>
              <w:bottom w:val="single" w:color="auto" w:sz="4" w:space="0"/>
              <w:right w:val="single" w:color="auto" w:sz="4" w:space="0"/>
            </w:tcBorders>
            <w:noWrap/>
            <w:vAlign w:val="top"/>
          </w:tcPr>
          <w:p w14:paraId="4EF25557">
            <w:pPr>
              <w:widowControl/>
              <w:snapToGrid w:val="0"/>
              <w:spacing w:before="156" w:beforeLines="5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气动插板阀</w:t>
            </w:r>
          </w:p>
        </w:tc>
        <w:tc>
          <w:tcPr>
            <w:tcW w:w="1047" w:type="dxa"/>
            <w:tcBorders>
              <w:top w:val="single" w:color="auto" w:sz="4" w:space="0"/>
              <w:left w:val="single" w:color="auto" w:sz="4" w:space="0"/>
              <w:bottom w:val="single" w:color="auto" w:sz="4" w:space="0"/>
              <w:right w:val="single" w:color="auto" w:sz="4" w:space="0"/>
            </w:tcBorders>
            <w:noWrap/>
            <w:vAlign w:val="top"/>
          </w:tcPr>
          <w:p w14:paraId="0A293491">
            <w:pPr>
              <w:widowControl/>
              <w:snapToGrid w:val="0"/>
              <w:spacing w:before="156" w:beforeLines="50"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948" w:type="dxa"/>
            <w:tcBorders>
              <w:top w:val="single" w:color="auto" w:sz="4" w:space="0"/>
              <w:left w:val="single" w:color="auto" w:sz="4" w:space="0"/>
              <w:bottom w:val="single" w:color="auto" w:sz="4" w:space="0"/>
              <w:right w:val="single" w:color="auto" w:sz="4" w:space="0"/>
            </w:tcBorders>
            <w:noWrap/>
            <w:vAlign w:val="top"/>
          </w:tcPr>
          <w:p w14:paraId="2267ECDF">
            <w:pPr>
              <w:widowControl/>
              <w:snapToGrid w:val="0"/>
              <w:spacing w:before="156" w:beforeLines="50"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r>
      <w:tr w14:paraId="5BCC8BDC">
        <w:tblPrEx>
          <w:tblCellMar>
            <w:top w:w="0" w:type="dxa"/>
            <w:left w:w="108" w:type="dxa"/>
            <w:bottom w:w="0" w:type="dxa"/>
            <w:right w:w="108" w:type="dxa"/>
          </w:tblCellMar>
        </w:tblPrEx>
        <w:trPr>
          <w:trHeight w:val="280" w:hRule="atLeast"/>
          <w:jc w:val="center"/>
        </w:trPr>
        <w:tc>
          <w:tcPr>
            <w:tcW w:w="950" w:type="dxa"/>
            <w:tcBorders>
              <w:top w:val="single" w:color="auto" w:sz="4" w:space="0"/>
              <w:left w:val="single" w:color="auto" w:sz="4" w:space="0"/>
              <w:bottom w:val="single" w:color="auto" w:sz="4" w:space="0"/>
              <w:right w:val="single" w:color="auto" w:sz="4" w:space="0"/>
            </w:tcBorders>
            <w:noWrap/>
            <w:vAlign w:val="center"/>
          </w:tcPr>
          <w:p w14:paraId="7C2DF709">
            <w:pPr>
              <w:widowControl/>
              <w:snapToGrid w:val="0"/>
              <w:spacing w:before="156" w:beforeLines="50" w:line="360" w:lineRule="auto"/>
              <w:jc w:val="center"/>
              <w:rPr>
                <w:color w:val="auto"/>
                <w:sz w:val="24"/>
                <w:highlight w:val="none"/>
              </w:rPr>
            </w:pPr>
            <w:r>
              <w:rPr>
                <w:rFonts w:hint="eastAsia" w:ascii="宋体" w:hAnsi="宋体" w:cs="宋体"/>
                <w:color w:val="auto"/>
                <w:sz w:val="24"/>
                <w:highlight w:val="none"/>
              </w:rPr>
              <w:t>6</w:t>
            </w:r>
          </w:p>
        </w:tc>
        <w:tc>
          <w:tcPr>
            <w:tcW w:w="6122" w:type="dxa"/>
            <w:tcBorders>
              <w:top w:val="single" w:color="auto" w:sz="4" w:space="0"/>
              <w:left w:val="single" w:color="auto" w:sz="4" w:space="0"/>
              <w:bottom w:val="single" w:color="auto" w:sz="4" w:space="0"/>
              <w:right w:val="single" w:color="auto" w:sz="4" w:space="0"/>
            </w:tcBorders>
            <w:noWrap/>
            <w:vAlign w:val="top"/>
          </w:tcPr>
          <w:p w14:paraId="702828B7">
            <w:pPr>
              <w:widowControl/>
              <w:snapToGrid w:val="0"/>
              <w:spacing w:before="156" w:beforeLines="5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气动挡板阀</w:t>
            </w:r>
          </w:p>
        </w:tc>
        <w:tc>
          <w:tcPr>
            <w:tcW w:w="1047" w:type="dxa"/>
            <w:tcBorders>
              <w:top w:val="single" w:color="auto" w:sz="4" w:space="0"/>
              <w:left w:val="single" w:color="auto" w:sz="4" w:space="0"/>
              <w:bottom w:val="single" w:color="auto" w:sz="4" w:space="0"/>
              <w:right w:val="single" w:color="auto" w:sz="4" w:space="0"/>
            </w:tcBorders>
            <w:noWrap/>
            <w:vAlign w:val="top"/>
          </w:tcPr>
          <w:p w14:paraId="4927B211">
            <w:pPr>
              <w:widowControl/>
              <w:snapToGrid w:val="0"/>
              <w:spacing w:before="156" w:beforeLines="50"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948" w:type="dxa"/>
            <w:tcBorders>
              <w:top w:val="single" w:color="auto" w:sz="4" w:space="0"/>
              <w:left w:val="single" w:color="auto" w:sz="4" w:space="0"/>
              <w:bottom w:val="single" w:color="auto" w:sz="4" w:space="0"/>
              <w:right w:val="single" w:color="auto" w:sz="4" w:space="0"/>
            </w:tcBorders>
            <w:noWrap/>
            <w:vAlign w:val="top"/>
          </w:tcPr>
          <w:p w14:paraId="2A70B70C">
            <w:pPr>
              <w:widowControl/>
              <w:snapToGrid w:val="0"/>
              <w:spacing w:before="156" w:beforeLines="50"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r>
      <w:tr w14:paraId="37E9F62B">
        <w:tblPrEx>
          <w:tblCellMar>
            <w:top w:w="0" w:type="dxa"/>
            <w:left w:w="108" w:type="dxa"/>
            <w:bottom w:w="0" w:type="dxa"/>
            <w:right w:w="108" w:type="dxa"/>
          </w:tblCellMar>
        </w:tblPrEx>
        <w:trPr>
          <w:trHeight w:val="280" w:hRule="atLeast"/>
          <w:jc w:val="center"/>
        </w:trPr>
        <w:tc>
          <w:tcPr>
            <w:tcW w:w="950" w:type="dxa"/>
            <w:tcBorders>
              <w:top w:val="single" w:color="auto" w:sz="4" w:space="0"/>
              <w:left w:val="single" w:color="auto" w:sz="4" w:space="0"/>
              <w:bottom w:val="single" w:color="auto" w:sz="4" w:space="0"/>
              <w:right w:val="single" w:color="auto" w:sz="4" w:space="0"/>
            </w:tcBorders>
            <w:noWrap/>
            <w:vAlign w:val="center"/>
          </w:tcPr>
          <w:p w14:paraId="33F7DD6E">
            <w:pPr>
              <w:widowControl/>
              <w:snapToGrid w:val="0"/>
              <w:spacing w:before="156" w:beforeLines="50" w:line="360" w:lineRule="auto"/>
              <w:jc w:val="center"/>
              <w:rPr>
                <w:rFonts w:hint="eastAsia"/>
                <w:color w:val="auto"/>
                <w:sz w:val="24"/>
                <w:highlight w:val="none"/>
              </w:rPr>
            </w:pPr>
            <w:r>
              <w:rPr>
                <w:rFonts w:hint="eastAsia" w:ascii="宋体" w:hAnsi="宋体" w:cs="宋体"/>
                <w:color w:val="auto"/>
                <w:sz w:val="24"/>
                <w:highlight w:val="none"/>
              </w:rPr>
              <w:t>7</w:t>
            </w:r>
          </w:p>
        </w:tc>
        <w:tc>
          <w:tcPr>
            <w:tcW w:w="6122" w:type="dxa"/>
            <w:tcBorders>
              <w:top w:val="single" w:color="auto" w:sz="4" w:space="0"/>
              <w:left w:val="single" w:color="auto" w:sz="4" w:space="0"/>
              <w:bottom w:val="single" w:color="auto" w:sz="4" w:space="0"/>
              <w:right w:val="single" w:color="auto" w:sz="4" w:space="0"/>
            </w:tcBorders>
            <w:noWrap/>
            <w:vAlign w:val="top"/>
          </w:tcPr>
          <w:p w14:paraId="2EA798E9">
            <w:pPr>
              <w:widowControl/>
              <w:snapToGrid w:val="0"/>
              <w:spacing w:before="156" w:beforeLines="5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高压电源</w:t>
            </w:r>
          </w:p>
        </w:tc>
        <w:tc>
          <w:tcPr>
            <w:tcW w:w="1047" w:type="dxa"/>
            <w:tcBorders>
              <w:top w:val="single" w:color="auto" w:sz="4" w:space="0"/>
              <w:left w:val="single" w:color="auto" w:sz="4" w:space="0"/>
              <w:bottom w:val="single" w:color="auto" w:sz="4" w:space="0"/>
              <w:right w:val="single" w:color="auto" w:sz="4" w:space="0"/>
            </w:tcBorders>
            <w:noWrap/>
            <w:vAlign w:val="top"/>
          </w:tcPr>
          <w:p w14:paraId="2C974F8C">
            <w:pPr>
              <w:widowControl/>
              <w:snapToGrid w:val="0"/>
              <w:spacing w:before="156" w:beforeLines="50"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948" w:type="dxa"/>
            <w:tcBorders>
              <w:top w:val="single" w:color="auto" w:sz="4" w:space="0"/>
              <w:left w:val="single" w:color="auto" w:sz="4" w:space="0"/>
              <w:bottom w:val="single" w:color="auto" w:sz="4" w:space="0"/>
              <w:right w:val="single" w:color="auto" w:sz="4" w:space="0"/>
            </w:tcBorders>
            <w:noWrap/>
            <w:vAlign w:val="top"/>
          </w:tcPr>
          <w:p w14:paraId="62AFC4E6">
            <w:pPr>
              <w:widowControl/>
              <w:snapToGrid w:val="0"/>
              <w:spacing w:before="156" w:beforeLines="50"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r>
      <w:tr w14:paraId="35FBE7EB">
        <w:tblPrEx>
          <w:tblCellMar>
            <w:top w:w="0" w:type="dxa"/>
            <w:left w:w="108" w:type="dxa"/>
            <w:bottom w:w="0" w:type="dxa"/>
            <w:right w:w="108" w:type="dxa"/>
          </w:tblCellMar>
        </w:tblPrEx>
        <w:trPr>
          <w:trHeight w:val="280" w:hRule="atLeast"/>
          <w:jc w:val="center"/>
        </w:trPr>
        <w:tc>
          <w:tcPr>
            <w:tcW w:w="950" w:type="dxa"/>
            <w:tcBorders>
              <w:top w:val="single" w:color="auto" w:sz="4" w:space="0"/>
              <w:left w:val="single" w:color="auto" w:sz="4" w:space="0"/>
              <w:bottom w:val="single" w:color="auto" w:sz="4" w:space="0"/>
              <w:right w:val="single" w:color="auto" w:sz="4" w:space="0"/>
            </w:tcBorders>
            <w:noWrap/>
            <w:vAlign w:val="center"/>
          </w:tcPr>
          <w:p w14:paraId="14CA8928">
            <w:pPr>
              <w:widowControl/>
              <w:snapToGrid w:val="0"/>
              <w:spacing w:before="156" w:beforeLines="50" w:line="360" w:lineRule="auto"/>
              <w:jc w:val="center"/>
              <w:rPr>
                <w:rFonts w:hint="eastAsia"/>
                <w:color w:val="auto"/>
                <w:sz w:val="24"/>
                <w:highlight w:val="none"/>
              </w:rPr>
            </w:pPr>
            <w:r>
              <w:rPr>
                <w:rFonts w:hint="eastAsia" w:ascii="宋体" w:hAnsi="宋体" w:cs="宋体"/>
                <w:color w:val="auto"/>
                <w:sz w:val="24"/>
                <w:highlight w:val="none"/>
              </w:rPr>
              <w:t>8</w:t>
            </w:r>
          </w:p>
        </w:tc>
        <w:tc>
          <w:tcPr>
            <w:tcW w:w="6122" w:type="dxa"/>
            <w:tcBorders>
              <w:top w:val="single" w:color="auto" w:sz="4" w:space="0"/>
              <w:left w:val="single" w:color="auto" w:sz="4" w:space="0"/>
              <w:bottom w:val="single" w:color="auto" w:sz="4" w:space="0"/>
              <w:right w:val="single" w:color="auto" w:sz="4" w:space="0"/>
            </w:tcBorders>
            <w:noWrap/>
            <w:vAlign w:val="top"/>
          </w:tcPr>
          <w:p w14:paraId="3F468F7B">
            <w:pPr>
              <w:widowControl/>
              <w:snapToGrid w:val="0"/>
              <w:spacing w:before="156" w:beforeLines="5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PLC控制系统</w:t>
            </w:r>
          </w:p>
        </w:tc>
        <w:tc>
          <w:tcPr>
            <w:tcW w:w="1047" w:type="dxa"/>
            <w:tcBorders>
              <w:top w:val="single" w:color="auto" w:sz="4" w:space="0"/>
              <w:left w:val="single" w:color="auto" w:sz="4" w:space="0"/>
              <w:bottom w:val="single" w:color="auto" w:sz="4" w:space="0"/>
              <w:right w:val="single" w:color="auto" w:sz="4" w:space="0"/>
            </w:tcBorders>
            <w:noWrap/>
            <w:vAlign w:val="top"/>
          </w:tcPr>
          <w:p w14:paraId="5FA74B32">
            <w:pPr>
              <w:widowControl/>
              <w:snapToGrid w:val="0"/>
              <w:spacing w:before="156" w:beforeLines="50"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948" w:type="dxa"/>
            <w:tcBorders>
              <w:top w:val="single" w:color="auto" w:sz="4" w:space="0"/>
              <w:left w:val="single" w:color="auto" w:sz="4" w:space="0"/>
              <w:bottom w:val="single" w:color="auto" w:sz="4" w:space="0"/>
              <w:right w:val="single" w:color="auto" w:sz="4" w:space="0"/>
            </w:tcBorders>
            <w:noWrap/>
            <w:vAlign w:val="top"/>
          </w:tcPr>
          <w:p w14:paraId="446F167F">
            <w:pPr>
              <w:widowControl/>
              <w:snapToGrid w:val="0"/>
              <w:spacing w:before="156" w:beforeLines="50"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r>
      <w:tr w14:paraId="36D3504E">
        <w:tblPrEx>
          <w:tblCellMar>
            <w:top w:w="0" w:type="dxa"/>
            <w:left w:w="108" w:type="dxa"/>
            <w:bottom w:w="0" w:type="dxa"/>
            <w:right w:w="108" w:type="dxa"/>
          </w:tblCellMar>
        </w:tblPrEx>
        <w:trPr>
          <w:trHeight w:val="280" w:hRule="atLeast"/>
          <w:jc w:val="center"/>
        </w:trPr>
        <w:tc>
          <w:tcPr>
            <w:tcW w:w="950" w:type="dxa"/>
            <w:tcBorders>
              <w:top w:val="single" w:color="auto" w:sz="4" w:space="0"/>
              <w:left w:val="single" w:color="auto" w:sz="4" w:space="0"/>
              <w:bottom w:val="single" w:color="auto" w:sz="4" w:space="0"/>
              <w:right w:val="single" w:color="auto" w:sz="4" w:space="0"/>
            </w:tcBorders>
            <w:noWrap/>
            <w:vAlign w:val="center"/>
          </w:tcPr>
          <w:p w14:paraId="2FB35ECD">
            <w:pPr>
              <w:widowControl/>
              <w:snapToGrid w:val="0"/>
              <w:spacing w:before="156" w:beforeLines="50" w:line="360" w:lineRule="auto"/>
              <w:jc w:val="center"/>
              <w:rPr>
                <w:rFonts w:hint="eastAsia"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9</w:t>
            </w:r>
          </w:p>
        </w:tc>
        <w:tc>
          <w:tcPr>
            <w:tcW w:w="6122" w:type="dxa"/>
            <w:tcBorders>
              <w:top w:val="single" w:color="auto" w:sz="4" w:space="0"/>
              <w:left w:val="single" w:color="auto" w:sz="4" w:space="0"/>
              <w:bottom w:val="single" w:color="auto" w:sz="4" w:space="0"/>
              <w:right w:val="single" w:color="auto" w:sz="4" w:space="0"/>
            </w:tcBorders>
            <w:noWrap/>
            <w:vAlign w:val="top"/>
          </w:tcPr>
          <w:p w14:paraId="339E2122">
            <w:pPr>
              <w:widowControl/>
              <w:snapToGrid w:val="0"/>
              <w:spacing w:before="156" w:beforeLines="5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电子枪系统</w:t>
            </w:r>
          </w:p>
        </w:tc>
        <w:tc>
          <w:tcPr>
            <w:tcW w:w="1047" w:type="dxa"/>
            <w:tcBorders>
              <w:top w:val="single" w:color="auto" w:sz="4" w:space="0"/>
              <w:left w:val="single" w:color="auto" w:sz="4" w:space="0"/>
              <w:bottom w:val="single" w:color="auto" w:sz="4" w:space="0"/>
              <w:right w:val="single" w:color="auto" w:sz="4" w:space="0"/>
            </w:tcBorders>
            <w:noWrap/>
            <w:vAlign w:val="top"/>
          </w:tcPr>
          <w:p w14:paraId="3EC424CC">
            <w:pPr>
              <w:widowControl/>
              <w:snapToGrid w:val="0"/>
              <w:spacing w:before="156" w:beforeLines="50"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948" w:type="dxa"/>
            <w:tcBorders>
              <w:top w:val="single" w:color="auto" w:sz="4" w:space="0"/>
              <w:left w:val="single" w:color="auto" w:sz="4" w:space="0"/>
              <w:bottom w:val="single" w:color="auto" w:sz="4" w:space="0"/>
              <w:right w:val="single" w:color="auto" w:sz="4" w:space="0"/>
            </w:tcBorders>
            <w:noWrap/>
            <w:vAlign w:val="top"/>
          </w:tcPr>
          <w:p w14:paraId="51E20133">
            <w:pPr>
              <w:widowControl/>
              <w:snapToGrid w:val="0"/>
              <w:spacing w:before="156" w:beforeLines="50"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r>
      <w:tr w14:paraId="70C666A5">
        <w:tblPrEx>
          <w:tblCellMar>
            <w:top w:w="0" w:type="dxa"/>
            <w:left w:w="108" w:type="dxa"/>
            <w:bottom w:w="0" w:type="dxa"/>
            <w:right w:w="108" w:type="dxa"/>
          </w:tblCellMar>
        </w:tblPrEx>
        <w:trPr>
          <w:trHeight w:val="280" w:hRule="atLeast"/>
          <w:jc w:val="center"/>
        </w:trPr>
        <w:tc>
          <w:tcPr>
            <w:tcW w:w="950" w:type="dxa"/>
            <w:tcBorders>
              <w:top w:val="single" w:color="auto" w:sz="4" w:space="0"/>
              <w:left w:val="single" w:color="auto" w:sz="4" w:space="0"/>
              <w:bottom w:val="single" w:color="auto" w:sz="4" w:space="0"/>
              <w:right w:val="single" w:color="auto" w:sz="4" w:space="0"/>
            </w:tcBorders>
            <w:noWrap/>
            <w:vAlign w:val="center"/>
          </w:tcPr>
          <w:p w14:paraId="3186EA30">
            <w:pPr>
              <w:widowControl/>
              <w:snapToGrid w:val="0"/>
              <w:spacing w:before="156" w:beforeLines="50" w:line="360" w:lineRule="auto"/>
              <w:jc w:val="center"/>
              <w:rPr>
                <w:rFonts w:hint="default"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10</w:t>
            </w:r>
          </w:p>
        </w:tc>
        <w:tc>
          <w:tcPr>
            <w:tcW w:w="6122" w:type="dxa"/>
            <w:tcBorders>
              <w:top w:val="single" w:color="auto" w:sz="4" w:space="0"/>
              <w:left w:val="single" w:color="auto" w:sz="4" w:space="0"/>
              <w:bottom w:val="single" w:color="auto" w:sz="4" w:space="0"/>
              <w:right w:val="single" w:color="auto" w:sz="4" w:space="0"/>
            </w:tcBorders>
            <w:noWrap/>
            <w:vAlign w:val="top"/>
          </w:tcPr>
          <w:p w14:paraId="71223345">
            <w:pPr>
              <w:widowControl/>
              <w:snapToGrid w:val="0"/>
              <w:spacing w:before="156" w:beforeLines="5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真空系统</w:t>
            </w:r>
          </w:p>
        </w:tc>
        <w:tc>
          <w:tcPr>
            <w:tcW w:w="1047" w:type="dxa"/>
            <w:tcBorders>
              <w:top w:val="single" w:color="auto" w:sz="4" w:space="0"/>
              <w:left w:val="single" w:color="auto" w:sz="4" w:space="0"/>
              <w:bottom w:val="single" w:color="auto" w:sz="4" w:space="0"/>
              <w:right w:val="single" w:color="auto" w:sz="4" w:space="0"/>
            </w:tcBorders>
            <w:noWrap/>
            <w:vAlign w:val="top"/>
          </w:tcPr>
          <w:p w14:paraId="16253FF9">
            <w:pPr>
              <w:widowControl/>
              <w:snapToGrid w:val="0"/>
              <w:spacing w:before="156" w:beforeLines="50"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948" w:type="dxa"/>
            <w:tcBorders>
              <w:top w:val="single" w:color="auto" w:sz="4" w:space="0"/>
              <w:left w:val="single" w:color="auto" w:sz="4" w:space="0"/>
              <w:bottom w:val="single" w:color="auto" w:sz="4" w:space="0"/>
              <w:right w:val="single" w:color="auto" w:sz="4" w:space="0"/>
            </w:tcBorders>
            <w:noWrap/>
            <w:vAlign w:val="top"/>
          </w:tcPr>
          <w:p w14:paraId="4E5AF449">
            <w:pPr>
              <w:widowControl/>
              <w:snapToGrid w:val="0"/>
              <w:spacing w:before="156" w:beforeLines="50"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r>
    </w:tbl>
    <w:p w14:paraId="305F685D">
      <w:pPr>
        <w:keepNext w:val="0"/>
        <w:keepLines w:val="0"/>
        <w:pageBreakBefore w:val="0"/>
        <w:kinsoku/>
        <w:wordWrap/>
        <w:overflowPunct/>
        <w:topLinePunct w:val="0"/>
        <w:autoSpaceDE/>
        <w:autoSpaceDN/>
        <w:bidi w:val="0"/>
        <w:adjustRightInd/>
        <w:snapToGrid/>
        <w:spacing w:line="360" w:lineRule="auto"/>
        <w:textAlignment w:val="auto"/>
        <w:rPr>
          <w:rFonts w:hint="eastAsia"/>
          <w:color w:val="auto"/>
          <w:highlight w:val="none"/>
        </w:rPr>
      </w:pPr>
      <w:r>
        <w:rPr>
          <w:rFonts w:hint="eastAsia"/>
          <w:color w:val="auto"/>
          <w:highlight w:val="none"/>
        </w:rPr>
        <w:br w:type="page"/>
      </w:r>
      <w:r>
        <w:rPr>
          <w:rFonts w:hint="eastAsia" w:ascii="宋体" w:hAnsi="宋体" w:eastAsia="宋体" w:cs="宋体"/>
          <w:b/>
          <w:bCs/>
          <w:color w:val="auto"/>
          <w:sz w:val="24"/>
          <w:szCs w:val="24"/>
          <w:highlight w:val="none"/>
        </w:rPr>
        <w:t>（二）商务要求：</w:t>
      </w:r>
    </w:p>
    <w:p w14:paraId="2569A20E">
      <w:pPr>
        <w:keepNext w:val="0"/>
        <w:keepLines w:val="0"/>
        <w:pageBreakBefore w:val="0"/>
        <w:widowControl/>
        <w:tabs>
          <w:tab w:val="left" w:pos="8010"/>
        </w:tabs>
        <w:kinsoku/>
        <w:wordWrap/>
        <w:overflowPunct/>
        <w:topLinePunct w:val="0"/>
        <w:bidi w:val="0"/>
        <w:adjustRightInd/>
        <w:snapToGrid/>
        <w:spacing w:line="360" w:lineRule="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1.技术资料要求：</w:t>
      </w:r>
    </w:p>
    <w:p w14:paraId="72FD05C5">
      <w:pPr>
        <w:keepNext w:val="0"/>
        <w:keepLines w:val="0"/>
        <w:pageBreakBefore w:val="0"/>
        <w:tabs>
          <w:tab w:val="left" w:pos="420"/>
          <w:tab w:val="bar" w:pos="11340"/>
        </w:tabs>
        <w:kinsoku/>
        <w:wordWrap/>
        <w:overflowPunct/>
        <w:topLinePunct w:val="0"/>
        <w:bidi w:val="0"/>
        <w:adjustRightInd/>
        <w:snapToGrid/>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应提供1套完整的技术资料，包括所有方案中提到的设备和控制软件的相关技术资料，主要有操作手册、使用手册、维护手册、安装手册等，全套手册必须可在设备操作界面上实时方便查阅，并可以使用关键字检索。</w:t>
      </w:r>
    </w:p>
    <w:p w14:paraId="1BA938B8">
      <w:pPr>
        <w:keepNext w:val="0"/>
        <w:keepLines w:val="0"/>
        <w:pageBreakBefore w:val="0"/>
        <w:widowControl/>
        <w:numPr>
          <w:ilvl w:val="0"/>
          <w:numId w:val="0"/>
        </w:numPr>
        <w:tabs>
          <w:tab w:val="left" w:pos="8010"/>
        </w:tabs>
        <w:kinsoku/>
        <w:wordWrap/>
        <w:overflowPunct/>
        <w:topLinePunct w:val="0"/>
        <w:bidi w:val="0"/>
        <w:adjustRightInd/>
        <w:snapToGrid/>
        <w:spacing w:line="360" w:lineRule="auto"/>
        <w:rPr>
          <w:rFonts w:hint="eastAsia" w:ascii="宋体" w:hAnsi="宋体" w:eastAsia="宋体" w:cs="宋体"/>
          <w:b/>
          <w:color w:val="auto"/>
          <w:sz w:val="24"/>
          <w:szCs w:val="24"/>
          <w:highlight w:val="none"/>
        </w:rPr>
      </w:pPr>
      <w:r>
        <w:rPr>
          <w:rFonts w:hint="eastAsia" w:ascii="宋体" w:hAnsi="宋体" w:eastAsia="宋体" w:cs="宋体"/>
          <w:b/>
          <w:color w:val="auto"/>
          <w:kern w:val="2"/>
          <w:sz w:val="24"/>
          <w:szCs w:val="24"/>
          <w:highlight w:val="none"/>
          <w:lang w:val="en-US" w:eastAsia="zh-CN" w:bidi="ar-SA"/>
        </w:rPr>
        <w:t>2.</w:t>
      </w:r>
      <w:r>
        <w:rPr>
          <w:rFonts w:hint="eastAsia" w:ascii="宋体" w:hAnsi="宋体" w:eastAsia="宋体" w:cs="宋体"/>
          <w:b/>
          <w:color w:val="auto"/>
          <w:sz w:val="24"/>
          <w:szCs w:val="24"/>
          <w:highlight w:val="none"/>
        </w:rPr>
        <w:t>安装、调试及验收要求：</w:t>
      </w:r>
    </w:p>
    <w:p w14:paraId="789EF444">
      <w:pPr>
        <w:keepNext w:val="0"/>
        <w:keepLines w:val="0"/>
        <w:pageBreakBefore w:val="0"/>
        <w:tabs>
          <w:tab w:val="left" w:pos="420"/>
          <w:tab w:val="bar" w:pos="11340"/>
        </w:tabs>
        <w:kinsoku/>
        <w:wordWrap/>
        <w:overflowPunct/>
        <w:topLinePunct w:val="0"/>
        <w:bidi w:val="0"/>
        <w:adjustRightInd/>
        <w:snapToGrid/>
        <w:spacing w:line="360" w:lineRule="auto"/>
        <w:rPr>
          <w:rFonts w:hint="eastAsia" w:ascii="宋体" w:hAnsi="宋体"/>
          <w:color w:val="auto"/>
          <w:sz w:val="24"/>
          <w:highlight w:val="none"/>
        </w:rPr>
      </w:pPr>
      <w:r>
        <w:rPr>
          <w:rFonts w:hint="eastAsia" w:ascii="宋体" w:hAnsi="宋体"/>
          <w:color w:val="auto"/>
          <w:sz w:val="24"/>
          <w:highlight w:val="none"/>
        </w:rPr>
        <w:t>2.1出厂检验报告：供应商在设备发货前提供到采购人，或随设备发货提供到采购人。</w:t>
      </w:r>
    </w:p>
    <w:p w14:paraId="0F153E91">
      <w:pPr>
        <w:keepNext w:val="0"/>
        <w:keepLines w:val="0"/>
        <w:pageBreakBefore w:val="0"/>
        <w:tabs>
          <w:tab w:val="left" w:pos="420"/>
          <w:tab w:val="bar" w:pos="11340"/>
        </w:tabs>
        <w:kinsoku/>
        <w:wordWrap/>
        <w:overflowPunct/>
        <w:topLinePunct w:val="0"/>
        <w:bidi w:val="0"/>
        <w:adjustRightInd/>
        <w:snapToGrid/>
        <w:spacing w:line="360" w:lineRule="auto"/>
        <w:rPr>
          <w:rFonts w:hint="eastAsia" w:ascii="宋体" w:hAnsi="宋体"/>
          <w:color w:val="auto"/>
          <w:sz w:val="24"/>
          <w:highlight w:val="none"/>
        </w:rPr>
      </w:pPr>
      <w:r>
        <w:rPr>
          <w:rFonts w:hint="eastAsia" w:ascii="宋体" w:hAnsi="宋体"/>
          <w:color w:val="auto"/>
          <w:sz w:val="24"/>
          <w:highlight w:val="none"/>
        </w:rPr>
        <w:t>2.2设备检查和清点：</w:t>
      </w:r>
    </w:p>
    <w:p w14:paraId="63CF1DDE">
      <w:pPr>
        <w:keepNext w:val="0"/>
        <w:keepLines w:val="0"/>
        <w:pageBreakBefore w:val="0"/>
        <w:tabs>
          <w:tab w:val="left" w:pos="420"/>
          <w:tab w:val="bar" w:pos="11340"/>
        </w:tabs>
        <w:kinsoku/>
        <w:wordWrap/>
        <w:overflowPunct/>
        <w:topLinePunct w:val="0"/>
        <w:bidi w:val="0"/>
        <w:adjustRightInd/>
        <w:snapToGrid/>
        <w:spacing w:line="360" w:lineRule="auto"/>
        <w:rPr>
          <w:rFonts w:hint="eastAsia" w:ascii="宋体" w:hAnsi="宋体"/>
          <w:color w:val="auto"/>
          <w:sz w:val="24"/>
          <w:highlight w:val="none"/>
        </w:rPr>
      </w:pPr>
      <w:r>
        <w:rPr>
          <w:rFonts w:hint="eastAsia" w:ascii="宋体" w:hAnsi="宋体"/>
          <w:color w:val="auto"/>
          <w:sz w:val="24"/>
          <w:highlight w:val="none"/>
        </w:rPr>
        <w:t>设备到达现场后，双方一起根据合同清单对设备进行开箱检查和清点，并形成经双方认可的记录。如供应商届时不派人来, 则验收结果应以采购人的清点记录为最终结果。发现短缺、破损,采购人有权要求供应商立即补发和负责更换。</w:t>
      </w:r>
    </w:p>
    <w:p w14:paraId="2A325BDF">
      <w:pPr>
        <w:keepNext w:val="0"/>
        <w:keepLines w:val="0"/>
        <w:pageBreakBefore w:val="0"/>
        <w:tabs>
          <w:tab w:val="left" w:pos="420"/>
          <w:tab w:val="bar" w:pos="11340"/>
        </w:tabs>
        <w:kinsoku/>
        <w:wordWrap/>
        <w:overflowPunct/>
        <w:topLinePunct w:val="0"/>
        <w:bidi w:val="0"/>
        <w:adjustRightInd/>
        <w:snapToGrid/>
        <w:spacing w:line="360" w:lineRule="auto"/>
        <w:rPr>
          <w:rFonts w:hint="eastAsia" w:ascii="宋体" w:hAnsi="宋体"/>
          <w:color w:val="auto"/>
          <w:sz w:val="24"/>
          <w:highlight w:val="none"/>
        </w:rPr>
      </w:pPr>
      <w:r>
        <w:rPr>
          <w:rFonts w:hint="eastAsia" w:ascii="宋体" w:hAnsi="宋体"/>
          <w:color w:val="auto"/>
          <w:sz w:val="24"/>
          <w:highlight w:val="none"/>
        </w:rPr>
        <w:t>2.3设备现场安装：</w:t>
      </w:r>
    </w:p>
    <w:p w14:paraId="42D5C070">
      <w:pPr>
        <w:keepNext w:val="0"/>
        <w:keepLines w:val="0"/>
        <w:pageBreakBefore w:val="0"/>
        <w:tabs>
          <w:tab w:val="left" w:pos="420"/>
          <w:tab w:val="bar" w:pos="11340"/>
        </w:tabs>
        <w:kinsoku/>
        <w:wordWrap/>
        <w:overflowPunct/>
        <w:topLinePunct w:val="0"/>
        <w:bidi w:val="0"/>
        <w:adjustRightInd/>
        <w:snapToGrid/>
        <w:spacing w:line="360" w:lineRule="auto"/>
        <w:rPr>
          <w:rFonts w:hint="eastAsia" w:ascii="宋体" w:hAnsi="宋体"/>
          <w:color w:val="auto"/>
          <w:sz w:val="24"/>
          <w:highlight w:val="none"/>
        </w:rPr>
      </w:pPr>
      <w:r>
        <w:rPr>
          <w:rFonts w:hint="eastAsia" w:ascii="宋体" w:hAnsi="宋体"/>
          <w:color w:val="auto"/>
          <w:sz w:val="24"/>
          <w:highlight w:val="none"/>
        </w:rPr>
        <w:t>现场安装应在设备检查、清点合格后开始。设备安装前，设备供应商应根据采购人现场条件设计安装方案，并经采购人认可。供应商</w:t>
      </w:r>
      <w:r>
        <w:rPr>
          <w:rFonts w:hint="eastAsia" w:ascii="宋体" w:hAnsi="宋体"/>
          <w:color w:val="auto"/>
          <w:sz w:val="24"/>
          <w:highlight w:val="none"/>
          <w:lang w:val="en-US" w:eastAsia="zh-CN"/>
        </w:rPr>
        <w:t>须</w:t>
      </w:r>
      <w:r>
        <w:rPr>
          <w:rFonts w:hint="eastAsia" w:ascii="宋体" w:hAnsi="宋体"/>
          <w:color w:val="auto"/>
          <w:sz w:val="24"/>
          <w:highlight w:val="none"/>
        </w:rPr>
        <w:t>提供设备的安装、调试、试运行。采购人方派相关人员给与配合，并负责提供设备安装过程所需的配套条件；设备安装、调试时间由设备供应商和采购人方协商确定。</w:t>
      </w:r>
    </w:p>
    <w:p w14:paraId="3857D18A">
      <w:pPr>
        <w:keepNext w:val="0"/>
        <w:keepLines w:val="0"/>
        <w:pageBreakBefore w:val="0"/>
        <w:tabs>
          <w:tab w:val="left" w:pos="420"/>
          <w:tab w:val="bar" w:pos="11340"/>
        </w:tabs>
        <w:kinsoku/>
        <w:wordWrap/>
        <w:overflowPunct/>
        <w:topLinePunct w:val="0"/>
        <w:bidi w:val="0"/>
        <w:adjustRightInd/>
        <w:snapToGrid/>
        <w:spacing w:line="360" w:lineRule="auto"/>
        <w:rPr>
          <w:rFonts w:hint="eastAsia" w:ascii="宋体" w:hAnsi="宋体"/>
          <w:color w:val="auto"/>
          <w:sz w:val="24"/>
          <w:highlight w:val="none"/>
        </w:rPr>
      </w:pPr>
      <w:r>
        <w:rPr>
          <w:rFonts w:hint="eastAsia" w:ascii="宋体" w:hAnsi="宋体"/>
          <w:color w:val="auto"/>
          <w:sz w:val="24"/>
          <w:highlight w:val="none"/>
        </w:rPr>
        <w:t>设备安装、调试开始后，应在4周内完成；如遇不可抗力原因需延长设备安装、调试时间，应由设备供应商和采购人协商确定。</w:t>
      </w:r>
    </w:p>
    <w:p w14:paraId="4F44C150">
      <w:pPr>
        <w:keepNext w:val="0"/>
        <w:keepLines w:val="0"/>
        <w:pageBreakBefore w:val="0"/>
        <w:tabs>
          <w:tab w:val="left" w:pos="420"/>
          <w:tab w:val="bar" w:pos="11340"/>
        </w:tabs>
        <w:kinsoku/>
        <w:wordWrap/>
        <w:overflowPunct/>
        <w:topLinePunct w:val="0"/>
        <w:bidi w:val="0"/>
        <w:adjustRightInd/>
        <w:snapToGrid/>
        <w:spacing w:line="360" w:lineRule="auto"/>
        <w:rPr>
          <w:rFonts w:hint="eastAsia" w:ascii="宋体" w:hAnsi="宋体"/>
          <w:color w:val="auto"/>
          <w:sz w:val="24"/>
          <w:highlight w:val="none"/>
        </w:rPr>
      </w:pPr>
      <w:r>
        <w:rPr>
          <w:rFonts w:hint="eastAsia" w:ascii="宋体" w:hAnsi="宋体"/>
          <w:color w:val="auto"/>
          <w:sz w:val="24"/>
          <w:highlight w:val="none"/>
        </w:rPr>
        <w:t xml:space="preserve">2.4双方在设备安装调试后进行验收,时间由设备供应商和采购人协商确定； </w:t>
      </w:r>
    </w:p>
    <w:p w14:paraId="5B3979A7">
      <w:pPr>
        <w:keepNext w:val="0"/>
        <w:keepLines w:val="0"/>
        <w:pageBreakBefore w:val="0"/>
        <w:tabs>
          <w:tab w:val="left" w:pos="420"/>
          <w:tab w:val="bar" w:pos="11340"/>
        </w:tabs>
        <w:kinsoku/>
        <w:wordWrap/>
        <w:overflowPunct/>
        <w:topLinePunct w:val="0"/>
        <w:bidi w:val="0"/>
        <w:adjustRightInd/>
        <w:snapToGrid/>
        <w:spacing w:line="360" w:lineRule="auto"/>
        <w:rPr>
          <w:rFonts w:hint="eastAsia" w:ascii="宋体" w:hAnsi="宋体"/>
          <w:color w:val="auto"/>
          <w:sz w:val="24"/>
          <w:highlight w:val="none"/>
        </w:rPr>
      </w:pPr>
      <w:r>
        <w:rPr>
          <w:rFonts w:hint="eastAsia" w:ascii="宋体" w:hAnsi="宋体"/>
          <w:color w:val="auto"/>
          <w:sz w:val="24"/>
          <w:highlight w:val="none"/>
        </w:rPr>
        <w:t>供应商应提出验收测试方案给采购人确认,供应商有责任对采购人的技术人员提出的问题做出解答。仪器设备验收测试应进行详细记录,测试结束后,由供应商技术人员签字后交给采购人验收。</w:t>
      </w:r>
    </w:p>
    <w:p w14:paraId="7966A98A">
      <w:pPr>
        <w:keepNext w:val="0"/>
        <w:keepLines w:val="0"/>
        <w:pageBreakBefore w:val="0"/>
        <w:tabs>
          <w:tab w:val="left" w:pos="420"/>
          <w:tab w:val="bar" w:pos="11340"/>
        </w:tabs>
        <w:kinsoku/>
        <w:wordWrap/>
        <w:overflowPunct/>
        <w:topLinePunct w:val="0"/>
        <w:bidi w:val="0"/>
        <w:adjustRightInd/>
        <w:snapToGrid/>
        <w:spacing w:line="360" w:lineRule="auto"/>
        <w:rPr>
          <w:rFonts w:hint="eastAsia" w:ascii="宋体" w:hAnsi="宋体"/>
          <w:color w:val="auto"/>
          <w:sz w:val="24"/>
          <w:highlight w:val="none"/>
        </w:rPr>
      </w:pPr>
      <w:r>
        <w:rPr>
          <w:rFonts w:hint="eastAsia" w:ascii="宋体" w:hAnsi="宋体"/>
          <w:color w:val="auto"/>
          <w:sz w:val="24"/>
          <w:highlight w:val="none"/>
        </w:rPr>
        <w:t>2.5在采购人现场完成验收后，由采购人、供应商及相关人员依国家有关标准、合同及有关附件要求签署最终验收合格报告。</w:t>
      </w:r>
    </w:p>
    <w:p w14:paraId="3F03A537">
      <w:pPr>
        <w:keepNext w:val="0"/>
        <w:keepLines w:val="0"/>
        <w:pageBreakBefore w:val="0"/>
        <w:tabs>
          <w:tab w:val="left" w:pos="420"/>
          <w:tab w:val="bar" w:pos="11340"/>
        </w:tabs>
        <w:kinsoku/>
        <w:wordWrap/>
        <w:overflowPunct/>
        <w:topLinePunct w:val="0"/>
        <w:bidi w:val="0"/>
        <w:adjustRightInd/>
        <w:snapToGrid/>
        <w:spacing w:line="360" w:lineRule="auto"/>
        <w:rPr>
          <w:rFonts w:hint="eastAsia" w:ascii="宋体" w:hAnsi="宋体"/>
          <w:color w:val="auto"/>
          <w:sz w:val="24"/>
          <w:highlight w:val="none"/>
        </w:rPr>
      </w:pPr>
      <w:r>
        <w:rPr>
          <w:rFonts w:hint="eastAsia" w:ascii="宋体" w:hAnsi="宋体"/>
          <w:color w:val="auto"/>
          <w:sz w:val="24"/>
          <w:highlight w:val="none"/>
        </w:rPr>
        <w:t>2.6由于采购人的原因，供应商不能在规定的时间内完成安装和调试，则系统安装及培训顺延，时间由采购人通知和确定。</w:t>
      </w:r>
    </w:p>
    <w:p w14:paraId="34B961EB">
      <w:pPr>
        <w:keepNext w:val="0"/>
        <w:keepLines w:val="0"/>
        <w:pageBreakBefore w:val="0"/>
        <w:tabs>
          <w:tab w:val="left" w:pos="420"/>
          <w:tab w:val="bar" w:pos="11340"/>
        </w:tabs>
        <w:kinsoku/>
        <w:wordWrap/>
        <w:overflowPunct/>
        <w:topLinePunct w:val="0"/>
        <w:bidi w:val="0"/>
        <w:adjustRightInd/>
        <w:snapToGrid/>
        <w:spacing w:line="360" w:lineRule="auto"/>
        <w:rPr>
          <w:rFonts w:hint="eastAsia" w:ascii="宋体" w:hAnsi="宋体" w:eastAsia="宋体" w:cs="宋体"/>
          <w:color w:val="auto"/>
          <w:sz w:val="24"/>
          <w:szCs w:val="24"/>
          <w:highlight w:val="none"/>
        </w:rPr>
      </w:pPr>
      <w:r>
        <w:rPr>
          <w:rFonts w:hint="eastAsia" w:ascii="宋体" w:hAnsi="宋体"/>
          <w:color w:val="auto"/>
          <w:sz w:val="24"/>
          <w:highlight w:val="none"/>
        </w:rPr>
        <w:t>2.7 在整个验收过程中，如遇到产品本身质量问题或供应商安装操作不当引起的设备损坏，供应商应及时解决并承担损坏赔偿。</w:t>
      </w:r>
    </w:p>
    <w:p w14:paraId="06C24460">
      <w:pPr>
        <w:keepNext w:val="0"/>
        <w:keepLines w:val="0"/>
        <w:pageBreakBefore w:val="0"/>
        <w:widowControl/>
        <w:numPr>
          <w:ilvl w:val="0"/>
          <w:numId w:val="0"/>
        </w:numPr>
        <w:tabs>
          <w:tab w:val="left" w:pos="8010"/>
        </w:tabs>
        <w:kinsoku/>
        <w:wordWrap/>
        <w:overflowPunct/>
        <w:topLinePunct w:val="0"/>
        <w:bidi w:val="0"/>
        <w:adjustRightInd/>
        <w:snapToGrid/>
        <w:spacing w:line="360" w:lineRule="auto"/>
        <w:rPr>
          <w:rFonts w:hint="eastAsia" w:ascii="宋体" w:hAnsi="宋体" w:eastAsia="宋体" w:cs="宋体"/>
          <w:b/>
          <w:color w:val="auto"/>
          <w:sz w:val="24"/>
          <w:szCs w:val="24"/>
          <w:highlight w:val="none"/>
        </w:rPr>
      </w:pPr>
      <w:r>
        <w:rPr>
          <w:rFonts w:hint="eastAsia" w:ascii="宋体" w:hAnsi="宋体" w:eastAsia="宋体" w:cs="宋体"/>
          <w:b/>
          <w:color w:val="auto"/>
          <w:kern w:val="2"/>
          <w:sz w:val="24"/>
          <w:szCs w:val="24"/>
          <w:highlight w:val="none"/>
          <w:lang w:val="en-US" w:eastAsia="zh-CN" w:bidi="ar-SA"/>
        </w:rPr>
        <w:t>3.</w:t>
      </w:r>
      <w:r>
        <w:rPr>
          <w:rFonts w:hint="eastAsia" w:ascii="宋体" w:hAnsi="宋体" w:eastAsia="宋体" w:cs="宋体"/>
          <w:b/>
          <w:color w:val="auto"/>
          <w:sz w:val="24"/>
          <w:szCs w:val="24"/>
          <w:highlight w:val="none"/>
        </w:rPr>
        <w:t>培训要求：</w:t>
      </w:r>
    </w:p>
    <w:p w14:paraId="5AB46E8C">
      <w:pPr>
        <w:keepNext w:val="0"/>
        <w:keepLines w:val="0"/>
        <w:pageBreakBefore w:val="0"/>
        <w:tabs>
          <w:tab w:val="left" w:pos="420"/>
          <w:tab w:val="bar" w:pos="11340"/>
        </w:tabs>
        <w:kinsoku/>
        <w:wordWrap/>
        <w:overflowPunct/>
        <w:topLinePunct w:val="0"/>
        <w:bidi w:val="0"/>
        <w:adjustRightInd/>
        <w:snapToGrid/>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在到货安装调试完成后，应派出专业工程师在采购方现场提供一次系统的使用培训服务，直至采购方相关人员熟练掌握为止。质保期结束前，由供应商的专业工程师提供一次上门设备检查服务以及设备操作与维护培训。具体时间由采购人决定。</w:t>
      </w:r>
    </w:p>
    <w:p w14:paraId="2819B67D">
      <w:pPr>
        <w:keepNext w:val="0"/>
        <w:keepLines w:val="0"/>
        <w:pageBreakBefore w:val="0"/>
        <w:widowControl/>
        <w:numPr>
          <w:ilvl w:val="0"/>
          <w:numId w:val="0"/>
        </w:numPr>
        <w:tabs>
          <w:tab w:val="left" w:pos="8010"/>
        </w:tabs>
        <w:kinsoku/>
        <w:wordWrap/>
        <w:overflowPunct/>
        <w:topLinePunct w:val="0"/>
        <w:bidi w:val="0"/>
        <w:adjustRightInd/>
        <w:snapToGrid/>
        <w:spacing w:line="360" w:lineRule="auto"/>
        <w:rPr>
          <w:rFonts w:hint="eastAsia" w:ascii="宋体" w:hAnsi="宋体" w:eastAsia="宋体" w:cs="宋体"/>
          <w:b/>
          <w:color w:val="auto"/>
          <w:sz w:val="24"/>
          <w:szCs w:val="24"/>
          <w:highlight w:val="none"/>
        </w:rPr>
      </w:pPr>
      <w:r>
        <w:rPr>
          <w:rFonts w:hint="eastAsia" w:ascii="宋体" w:hAnsi="宋体" w:eastAsia="宋体" w:cs="宋体"/>
          <w:b/>
          <w:color w:val="auto"/>
          <w:kern w:val="2"/>
          <w:sz w:val="24"/>
          <w:szCs w:val="24"/>
          <w:highlight w:val="none"/>
          <w:lang w:val="en-US" w:eastAsia="zh-CN" w:bidi="ar-SA"/>
        </w:rPr>
        <w:t>4.</w:t>
      </w:r>
      <w:r>
        <w:rPr>
          <w:rFonts w:hint="eastAsia" w:ascii="宋体" w:hAnsi="宋体" w:eastAsia="宋体" w:cs="宋体"/>
          <w:b/>
          <w:color w:val="auto"/>
          <w:sz w:val="24"/>
          <w:szCs w:val="24"/>
          <w:highlight w:val="none"/>
        </w:rPr>
        <w:t xml:space="preserve">售后及技术服务要求： </w:t>
      </w:r>
    </w:p>
    <w:p w14:paraId="3220F975">
      <w:pPr>
        <w:keepNext w:val="0"/>
        <w:keepLines w:val="0"/>
        <w:pageBreakBefore w:val="0"/>
        <w:widowControl w:val="0"/>
        <w:tabs>
          <w:tab w:val="left" w:pos="420"/>
          <w:tab w:val="bar" w:pos="11340"/>
        </w:tabs>
        <w:kinsoku/>
        <w:wordWrap/>
        <w:overflowPunct/>
        <w:topLinePunct w:val="0"/>
        <w:autoSpaceDE/>
        <w:autoSpaceDN/>
        <w:bidi w:val="0"/>
        <w:adjustRightInd/>
        <w:snapToGrid/>
        <w:spacing w:line="360" w:lineRule="auto"/>
        <w:textAlignment w:val="auto"/>
        <w:rPr>
          <w:rFonts w:hint="eastAsia" w:ascii="宋体" w:hAnsi="宋体"/>
          <w:color w:val="auto"/>
          <w:sz w:val="24"/>
          <w:highlight w:val="none"/>
        </w:rPr>
      </w:pPr>
      <w:r>
        <w:rPr>
          <w:rFonts w:hint="eastAsia" w:ascii="宋体" w:hAnsi="宋体"/>
          <w:color w:val="auto"/>
          <w:sz w:val="24"/>
          <w:highlight w:val="none"/>
        </w:rPr>
        <w:t>4.1</w:t>
      </w:r>
      <w:r>
        <w:rPr>
          <w:rFonts w:hint="eastAsia" w:ascii="宋体" w:hAnsi="宋体"/>
          <w:color w:val="auto"/>
          <w:sz w:val="24"/>
          <w:highlight w:val="none"/>
          <w:lang w:val="en-US" w:eastAsia="zh-CN"/>
        </w:rPr>
        <w:t xml:space="preserve"> </w:t>
      </w:r>
      <w:r>
        <w:rPr>
          <w:rFonts w:hint="eastAsia" w:ascii="宋体" w:hAnsi="宋体"/>
          <w:color w:val="auto"/>
          <w:sz w:val="24"/>
          <w:highlight w:val="none"/>
        </w:rPr>
        <w:t>保修期：质量保证期从签署最终验收报告之日起计算，保修期不少于18个月。</w:t>
      </w:r>
    </w:p>
    <w:p w14:paraId="5D674279">
      <w:pPr>
        <w:keepNext w:val="0"/>
        <w:keepLines w:val="0"/>
        <w:pageBreakBefore w:val="0"/>
        <w:widowControl w:val="0"/>
        <w:tabs>
          <w:tab w:val="left" w:pos="420"/>
          <w:tab w:val="bar" w:pos="11340"/>
        </w:tabs>
        <w:kinsoku/>
        <w:wordWrap/>
        <w:overflowPunct/>
        <w:topLinePunct w:val="0"/>
        <w:autoSpaceDE/>
        <w:autoSpaceDN/>
        <w:bidi w:val="0"/>
        <w:adjustRightInd/>
        <w:snapToGrid/>
        <w:spacing w:line="360" w:lineRule="auto"/>
        <w:ind w:firstLine="240" w:firstLineChars="100"/>
        <w:textAlignment w:val="auto"/>
        <w:rPr>
          <w:rFonts w:hint="eastAsia" w:ascii="宋体" w:hAnsi="宋体"/>
          <w:color w:val="auto"/>
          <w:sz w:val="24"/>
          <w:highlight w:val="none"/>
        </w:rPr>
      </w:pPr>
      <w:r>
        <w:rPr>
          <w:rFonts w:hint="eastAsia" w:ascii="宋体" w:hAnsi="宋体"/>
          <w:color w:val="auto"/>
          <w:sz w:val="24"/>
          <w:highlight w:val="none"/>
        </w:rPr>
        <w:t>4.1.1</w:t>
      </w:r>
      <w:r>
        <w:rPr>
          <w:rFonts w:hint="eastAsia" w:ascii="宋体" w:hAnsi="宋体"/>
          <w:color w:val="auto"/>
          <w:sz w:val="24"/>
          <w:highlight w:val="none"/>
          <w:lang w:val="en-US" w:eastAsia="zh-CN"/>
        </w:rPr>
        <w:t xml:space="preserve"> </w:t>
      </w:r>
      <w:r>
        <w:rPr>
          <w:rFonts w:hint="eastAsia" w:ascii="宋体" w:hAnsi="宋体"/>
          <w:color w:val="auto"/>
          <w:sz w:val="24"/>
          <w:highlight w:val="none"/>
        </w:rPr>
        <w:t>保修期内，一切服务费用（包括零配件的费用及运费）由供应商承担；</w:t>
      </w:r>
    </w:p>
    <w:p w14:paraId="410788CC">
      <w:pPr>
        <w:keepNext w:val="0"/>
        <w:keepLines w:val="0"/>
        <w:pageBreakBefore w:val="0"/>
        <w:widowControl w:val="0"/>
        <w:tabs>
          <w:tab w:val="left" w:pos="420"/>
          <w:tab w:val="bar" w:pos="11340"/>
        </w:tabs>
        <w:kinsoku/>
        <w:wordWrap/>
        <w:overflowPunct/>
        <w:topLinePunct w:val="0"/>
        <w:autoSpaceDE/>
        <w:autoSpaceDN/>
        <w:bidi w:val="0"/>
        <w:adjustRightInd/>
        <w:snapToGrid/>
        <w:spacing w:line="360" w:lineRule="auto"/>
        <w:ind w:firstLine="240" w:firstLineChars="100"/>
        <w:textAlignment w:val="auto"/>
        <w:rPr>
          <w:rFonts w:hint="eastAsia" w:ascii="宋体" w:hAnsi="宋体"/>
          <w:color w:val="auto"/>
          <w:sz w:val="24"/>
          <w:highlight w:val="none"/>
        </w:rPr>
      </w:pPr>
      <w:r>
        <w:rPr>
          <w:rFonts w:hint="eastAsia" w:ascii="宋体" w:hAnsi="宋体"/>
          <w:color w:val="auto"/>
          <w:sz w:val="24"/>
          <w:highlight w:val="none"/>
        </w:rPr>
        <w:t>4.1.2</w:t>
      </w:r>
      <w:r>
        <w:rPr>
          <w:rFonts w:hint="eastAsia" w:ascii="宋体" w:hAnsi="宋体"/>
          <w:color w:val="auto"/>
          <w:sz w:val="24"/>
          <w:highlight w:val="none"/>
          <w:lang w:val="en-US" w:eastAsia="zh-CN"/>
        </w:rPr>
        <w:t xml:space="preserve"> </w:t>
      </w:r>
      <w:r>
        <w:rPr>
          <w:rFonts w:hint="eastAsia" w:ascii="宋体" w:hAnsi="宋体"/>
          <w:color w:val="auto"/>
          <w:sz w:val="24"/>
          <w:highlight w:val="none"/>
        </w:rPr>
        <w:t>保修期内，供应商负责设备的所有相关软件在最新版本发布后</w:t>
      </w:r>
      <w:r>
        <w:rPr>
          <w:rFonts w:hint="eastAsia" w:ascii="宋体" w:hAnsi="宋体"/>
          <w:color w:val="auto"/>
          <w:sz w:val="24"/>
          <w:highlight w:val="none"/>
          <w:lang w:val="en-US" w:eastAsia="zh-CN"/>
        </w:rPr>
        <w:t>同步</w:t>
      </w:r>
      <w:r>
        <w:rPr>
          <w:rFonts w:hint="eastAsia" w:ascii="宋体" w:hAnsi="宋体"/>
          <w:color w:val="auto"/>
          <w:sz w:val="24"/>
          <w:highlight w:val="none"/>
        </w:rPr>
        <w:t>升级；</w:t>
      </w:r>
    </w:p>
    <w:p w14:paraId="2C32860A">
      <w:pPr>
        <w:keepNext w:val="0"/>
        <w:keepLines w:val="0"/>
        <w:pageBreakBefore w:val="0"/>
        <w:widowControl w:val="0"/>
        <w:tabs>
          <w:tab w:val="left" w:pos="420"/>
          <w:tab w:val="bar" w:pos="11340"/>
        </w:tabs>
        <w:kinsoku/>
        <w:wordWrap/>
        <w:overflowPunct/>
        <w:topLinePunct w:val="0"/>
        <w:autoSpaceDE/>
        <w:autoSpaceDN/>
        <w:bidi w:val="0"/>
        <w:adjustRightInd/>
        <w:snapToGrid/>
        <w:spacing w:line="360" w:lineRule="auto"/>
        <w:ind w:firstLine="240" w:firstLineChars="100"/>
        <w:textAlignment w:val="auto"/>
        <w:rPr>
          <w:rFonts w:hint="eastAsia" w:ascii="宋体" w:hAnsi="宋体"/>
          <w:color w:val="auto"/>
          <w:sz w:val="24"/>
          <w:highlight w:val="none"/>
        </w:rPr>
      </w:pPr>
      <w:r>
        <w:rPr>
          <w:rFonts w:hint="eastAsia" w:ascii="宋体" w:hAnsi="宋体"/>
          <w:color w:val="auto"/>
          <w:sz w:val="24"/>
          <w:highlight w:val="none"/>
        </w:rPr>
        <w:t>4.1.3</w:t>
      </w:r>
      <w:r>
        <w:rPr>
          <w:rFonts w:hint="eastAsia" w:ascii="宋体" w:hAnsi="宋体"/>
          <w:color w:val="auto"/>
          <w:sz w:val="24"/>
          <w:highlight w:val="none"/>
          <w:lang w:val="en-US" w:eastAsia="zh-CN"/>
        </w:rPr>
        <w:t xml:space="preserve"> </w:t>
      </w:r>
      <w:r>
        <w:rPr>
          <w:rFonts w:hint="eastAsia" w:ascii="宋体" w:hAnsi="宋体"/>
          <w:color w:val="auto"/>
          <w:sz w:val="24"/>
          <w:highlight w:val="none"/>
        </w:rPr>
        <w:t>供应商应承诺，在保修期过后，供应商继续向采购人以最优惠费率提供及时有效的售后服务和零备件供应，供应商应承诺保证零备件供应期不少于10年；所更换的部件可享受顺延保修期优惠。</w:t>
      </w:r>
    </w:p>
    <w:p w14:paraId="5268E94E">
      <w:pPr>
        <w:keepNext w:val="0"/>
        <w:keepLines w:val="0"/>
        <w:pageBreakBefore w:val="0"/>
        <w:widowControl w:val="0"/>
        <w:tabs>
          <w:tab w:val="left" w:pos="420"/>
          <w:tab w:val="bar" w:pos="11340"/>
        </w:tabs>
        <w:kinsoku/>
        <w:wordWrap/>
        <w:overflowPunct/>
        <w:topLinePunct w:val="0"/>
        <w:autoSpaceDE/>
        <w:autoSpaceDN/>
        <w:bidi w:val="0"/>
        <w:adjustRightInd/>
        <w:snapToGrid/>
        <w:spacing w:line="360" w:lineRule="auto"/>
        <w:ind w:firstLine="240" w:firstLineChars="100"/>
        <w:textAlignment w:val="auto"/>
        <w:rPr>
          <w:rFonts w:hint="eastAsia" w:ascii="宋体" w:hAnsi="宋体"/>
          <w:color w:val="auto"/>
          <w:sz w:val="24"/>
          <w:highlight w:val="none"/>
        </w:rPr>
      </w:pPr>
      <w:r>
        <w:rPr>
          <w:rFonts w:hint="eastAsia" w:ascii="宋体" w:hAnsi="宋体"/>
          <w:color w:val="auto"/>
          <w:sz w:val="24"/>
          <w:highlight w:val="none"/>
        </w:rPr>
        <w:t>4.1.4</w:t>
      </w:r>
      <w:r>
        <w:rPr>
          <w:rFonts w:hint="eastAsia" w:ascii="宋体" w:hAnsi="宋体"/>
          <w:color w:val="auto"/>
          <w:sz w:val="24"/>
          <w:highlight w:val="none"/>
          <w:lang w:val="en-US" w:eastAsia="zh-CN"/>
        </w:rPr>
        <w:t xml:space="preserve"> </w:t>
      </w:r>
      <w:r>
        <w:rPr>
          <w:rFonts w:hint="eastAsia" w:ascii="宋体" w:hAnsi="宋体"/>
          <w:color w:val="auto"/>
          <w:sz w:val="24"/>
          <w:highlight w:val="none"/>
        </w:rPr>
        <w:t>保修期内,如果仪器设备发生故障，供应商要调查故障原因并修复直至满足最终验收指标和性能的要求。</w:t>
      </w:r>
    </w:p>
    <w:p w14:paraId="257B86BE">
      <w:pPr>
        <w:keepNext w:val="0"/>
        <w:keepLines w:val="0"/>
        <w:pageBreakBefore w:val="0"/>
        <w:widowControl w:val="0"/>
        <w:tabs>
          <w:tab w:val="left" w:pos="420"/>
          <w:tab w:val="bar" w:pos="11340"/>
        </w:tabs>
        <w:kinsoku/>
        <w:wordWrap/>
        <w:overflowPunct/>
        <w:topLinePunct w:val="0"/>
        <w:autoSpaceDE/>
        <w:autoSpaceDN/>
        <w:bidi w:val="0"/>
        <w:adjustRightInd/>
        <w:snapToGrid/>
        <w:spacing w:line="360" w:lineRule="auto"/>
        <w:textAlignment w:val="auto"/>
        <w:rPr>
          <w:rFonts w:hint="eastAsia" w:ascii="宋体" w:hAnsi="宋体"/>
          <w:color w:val="auto"/>
          <w:sz w:val="24"/>
          <w:highlight w:val="none"/>
        </w:rPr>
      </w:pPr>
      <w:r>
        <w:rPr>
          <w:rFonts w:hint="eastAsia" w:ascii="宋体" w:hAnsi="宋体"/>
          <w:color w:val="auto"/>
          <w:sz w:val="24"/>
          <w:highlight w:val="none"/>
        </w:rPr>
        <w:t>4.2</w:t>
      </w:r>
      <w:r>
        <w:rPr>
          <w:rFonts w:hint="eastAsia" w:ascii="宋体" w:hAnsi="宋体"/>
          <w:color w:val="auto"/>
          <w:sz w:val="24"/>
          <w:highlight w:val="none"/>
          <w:lang w:val="en-US" w:eastAsia="zh-CN"/>
        </w:rPr>
        <w:t xml:space="preserve"> </w:t>
      </w:r>
      <w:r>
        <w:rPr>
          <w:rFonts w:hint="eastAsia" w:ascii="宋体" w:hAnsi="宋体"/>
          <w:color w:val="auto"/>
          <w:sz w:val="24"/>
          <w:highlight w:val="none"/>
        </w:rPr>
        <w:t>售后服务要求：</w:t>
      </w:r>
    </w:p>
    <w:p w14:paraId="19E132E1">
      <w:pPr>
        <w:keepNext w:val="0"/>
        <w:keepLines w:val="0"/>
        <w:pageBreakBefore w:val="0"/>
        <w:widowControl w:val="0"/>
        <w:tabs>
          <w:tab w:val="left" w:pos="420"/>
          <w:tab w:val="bar" w:pos="11340"/>
        </w:tabs>
        <w:kinsoku/>
        <w:wordWrap/>
        <w:overflowPunct/>
        <w:topLinePunct w:val="0"/>
        <w:autoSpaceDE/>
        <w:autoSpaceDN/>
        <w:bidi w:val="0"/>
        <w:adjustRightInd/>
        <w:snapToGrid/>
        <w:spacing w:line="360" w:lineRule="auto"/>
        <w:ind w:firstLine="240" w:firstLineChars="100"/>
        <w:textAlignment w:val="auto"/>
        <w:rPr>
          <w:rFonts w:hint="eastAsia" w:ascii="宋体" w:hAnsi="宋体"/>
          <w:color w:val="auto"/>
          <w:sz w:val="24"/>
          <w:highlight w:val="none"/>
        </w:rPr>
      </w:pPr>
      <w:r>
        <w:rPr>
          <w:rFonts w:hint="eastAsia" w:ascii="宋体" w:hAnsi="宋体"/>
          <w:color w:val="auto"/>
          <w:sz w:val="24"/>
          <w:highlight w:val="none"/>
        </w:rPr>
        <w:t>4.2.1</w:t>
      </w:r>
      <w:r>
        <w:rPr>
          <w:rFonts w:hint="eastAsia" w:ascii="宋体" w:hAnsi="宋体"/>
          <w:color w:val="auto"/>
          <w:sz w:val="24"/>
          <w:highlight w:val="none"/>
          <w:lang w:val="en-US" w:eastAsia="zh-CN"/>
        </w:rPr>
        <w:t xml:space="preserve"> </w:t>
      </w:r>
      <w:r>
        <w:rPr>
          <w:rFonts w:hint="eastAsia" w:ascii="宋体" w:hAnsi="宋体"/>
          <w:color w:val="auto"/>
          <w:sz w:val="24"/>
          <w:highlight w:val="none"/>
        </w:rPr>
        <w:t>维修响应时间：</w:t>
      </w:r>
    </w:p>
    <w:p w14:paraId="7D9CC3F0">
      <w:pPr>
        <w:keepNext w:val="0"/>
        <w:keepLines w:val="0"/>
        <w:pageBreakBefore w:val="0"/>
        <w:widowControl w:val="0"/>
        <w:tabs>
          <w:tab w:val="left" w:pos="420"/>
          <w:tab w:val="bar" w:pos="11340"/>
        </w:tabs>
        <w:kinsoku/>
        <w:wordWrap/>
        <w:overflowPunct/>
        <w:topLinePunct w:val="0"/>
        <w:autoSpaceDE/>
        <w:autoSpaceDN/>
        <w:bidi w:val="0"/>
        <w:adjustRightInd/>
        <w:snapToGrid/>
        <w:spacing w:line="360" w:lineRule="auto"/>
        <w:ind w:firstLine="480" w:firstLineChars="200"/>
        <w:textAlignment w:val="auto"/>
        <w:rPr>
          <w:rFonts w:hint="eastAsia" w:ascii="宋体" w:hAnsi="宋体"/>
          <w:color w:val="auto"/>
          <w:sz w:val="24"/>
          <w:highlight w:val="none"/>
        </w:rPr>
      </w:pPr>
      <w:r>
        <w:rPr>
          <w:rFonts w:hint="eastAsia" w:ascii="宋体" w:hAnsi="宋体"/>
          <w:color w:val="auto"/>
          <w:sz w:val="24"/>
          <w:highlight w:val="none"/>
        </w:rPr>
        <w:t>供应商接到故障报告后 4小时予以电话响应并给出方案，如无法通过电话解决故障，将在24小时内派专业工程师到现场解决问题，如有需要将在7日内派原厂工程师到现场解决问题；</w:t>
      </w:r>
    </w:p>
    <w:p w14:paraId="1DB4DF7A">
      <w:pPr>
        <w:keepNext w:val="0"/>
        <w:keepLines w:val="0"/>
        <w:pageBreakBefore w:val="0"/>
        <w:widowControl w:val="0"/>
        <w:tabs>
          <w:tab w:val="left" w:pos="420"/>
          <w:tab w:val="bar" w:pos="11340"/>
        </w:tabs>
        <w:kinsoku/>
        <w:wordWrap/>
        <w:overflowPunct/>
        <w:topLinePunct w:val="0"/>
        <w:autoSpaceDE/>
        <w:autoSpaceDN/>
        <w:bidi w:val="0"/>
        <w:adjustRightInd/>
        <w:snapToGrid/>
        <w:spacing w:line="360" w:lineRule="auto"/>
        <w:ind w:firstLine="240" w:firstLineChars="100"/>
        <w:textAlignment w:val="auto"/>
        <w:rPr>
          <w:rFonts w:hint="eastAsia" w:ascii="宋体" w:hAnsi="宋体"/>
          <w:color w:val="auto"/>
          <w:sz w:val="24"/>
          <w:highlight w:val="none"/>
        </w:rPr>
      </w:pPr>
      <w:r>
        <w:rPr>
          <w:rFonts w:hint="eastAsia" w:ascii="宋体" w:hAnsi="宋体"/>
          <w:color w:val="auto"/>
          <w:sz w:val="24"/>
          <w:highlight w:val="none"/>
        </w:rPr>
        <w:t>4.2.2</w:t>
      </w:r>
      <w:r>
        <w:rPr>
          <w:rFonts w:hint="eastAsia" w:ascii="宋体" w:hAnsi="宋体"/>
          <w:color w:val="auto"/>
          <w:sz w:val="24"/>
          <w:highlight w:val="none"/>
          <w:lang w:val="en-US" w:eastAsia="zh-CN"/>
        </w:rPr>
        <w:t xml:space="preserve"> </w:t>
      </w:r>
      <w:r>
        <w:rPr>
          <w:rFonts w:hint="eastAsia" w:ascii="宋体" w:hAnsi="宋体"/>
          <w:color w:val="auto"/>
          <w:sz w:val="24"/>
          <w:highlight w:val="none"/>
        </w:rPr>
        <w:t>供应商</w:t>
      </w:r>
      <w:r>
        <w:rPr>
          <w:rFonts w:hint="eastAsia" w:ascii="宋体" w:hAnsi="宋体"/>
          <w:color w:val="auto"/>
          <w:sz w:val="24"/>
          <w:highlight w:val="none"/>
          <w:lang w:val="en-US" w:eastAsia="zh-CN"/>
        </w:rPr>
        <w:t>应</w:t>
      </w:r>
      <w:r>
        <w:rPr>
          <w:rFonts w:hint="eastAsia" w:ascii="宋体" w:hAnsi="宋体"/>
          <w:color w:val="auto"/>
          <w:sz w:val="24"/>
          <w:highlight w:val="none"/>
        </w:rPr>
        <w:t>提供7*24小时的技术支持热线电话；</w:t>
      </w:r>
    </w:p>
    <w:p w14:paraId="6710DF0B">
      <w:pPr>
        <w:keepNext w:val="0"/>
        <w:keepLines w:val="0"/>
        <w:pageBreakBefore w:val="0"/>
        <w:widowControl w:val="0"/>
        <w:tabs>
          <w:tab w:val="left" w:pos="420"/>
          <w:tab w:val="bar" w:pos="11340"/>
        </w:tabs>
        <w:kinsoku/>
        <w:wordWrap/>
        <w:overflowPunct/>
        <w:topLinePunct w:val="0"/>
        <w:autoSpaceDE/>
        <w:autoSpaceDN/>
        <w:bidi w:val="0"/>
        <w:adjustRightInd/>
        <w:snapToGrid/>
        <w:spacing w:line="360" w:lineRule="auto"/>
        <w:ind w:firstLine="240" w:firstLineChars="100"/>
        <w:textAlignment w:val="auto"/>
        <w:rPr>
          <w:rFonts w:hint="eastAsia" w:ascii="宋体" w:hAnsi="宋体"/>
          <w:color w:val="auto"/>
          <w:sz w:val="24"/>
          <w:highlight w:val="none"/>
        </w:rPr>
      </w:pPr>
      <w:r>
        <w:rPr>
          <w:rFonts w:hint="eastAsia" w:ascii="宋体" w:hAnsi="宋体"/>
          <w:color w:val="auto"/>
          <w:sz w:val="24"/>
          <w:highlight w:val="none"/>
        </w:rPr>
        <w:t>4.2.3</w:t>
      </w:r>
      <w:r>
        <w:rPr>
          <w:rFonts w:hint="eastAsia" w:ascii="宋体" w:hAnsi="宋体"/>
          <w:color w:val="auto"/>
          <w:sz w:val="24"/>
          <w:highlight w:val="none"/>
          <w:lang w:val="en-US" w:eastAsia="zh-CN"/>
        </w:rPr>
        <w:t xml:space="preserve"> </w:t>
      </w:r>
      <w:r>
        <w:rPr>
          <w:rFonts w:hint="eastAsia" w:ascii="宋体" w:hAnsi="宋体"/>
          <w:color w:val="auto"/>
          <w:sz w:val="24"/>
          <w:highlight w:val="none"/>
        </w:rPr>
        <w:t>要求供应商提供的其它技术服务内容：</w:t>
      </w:r>
    </w:p>
    <w:p w14:paraId="16B60EE8">
      <w:pPr>
        <w:keepNext w:val="0"/>
        <w:keepLines w:val="0"/>
        <w:pageBreakBefore w:val="0"/>
        <w:widowControl w:val="0"/>
        <w:tabs>
          <w:tab w:val="left" w:pos="420"/>
          <w:tab w:val="bar" w:pos="11340"/>
        </w:tabs>
        <w:kinsoku/>
        <w:wordWrap/>
        <w:overflowPunct/>
        <w:topLinePunct w:val="0"/>
        <w:autoSpaceDE/>
        <w:autoSpaceDN/>
        <w:bidi w:val="0"/>
        <w:adjustRightInd/>
        <w:snapToGrid/>
        <w:spacing w:line="360" w:lineRule="auto"/>
        <w:ind w:firstLine="480" w:firstLineChars="200"/>
        <w:textAlignment w:val="auto"/>
        <w:rPr>
          <w:rFonts w:hint="eastAsia" w:ascii="宋体" w:hAnsi="宋体"/>
          <w:color w:val="auto"/>
          <w:sz w:val="24"/>
          <w:highlight w:val="none"/>
        </w:rPr>
      </w:pPr>
      <w:r>
        <w:rPr>
          <w:rFonts w:hint="eastAsia" w:ascii="宋体" w:hAnsi="宋体"/>
          <w:color w:val="auto"/>
          <w:sz w:val="24"/>
          <w:highlight w:val="none"/>
        </w:rPr>
        <w:t>4.2.3.1</w:t>
      </w:r>
      <w:r>
        <w:rPr>
          <w:rFonts w:hint="eastAsia" w:ascii="宋体" w:hAnsi="宋体"/>
          <w:color w:val="auto"/>
          <w:sz w:val="24"/>
          <w:highlight w:val="none"/>
          <w:lang w:val="en-US" w:eastAsia="zh-CN"/>
        </w:rPr>
        <w:t xml:space="preserve"> </w:t>
      </w:r>
      <w:r>
        <w:rPr>
          <w:rFonts w:hint="eastAsia" w:ascii="宋体" w:hAnsi="宋体"/>
          <w:color w:val="auto"/>
          <w:sz w:val="24"/>
          <w:highlight w:val="none"/>
        </w:rPr>
        <w:t>供应商须保证本合同系统硬件均系原装新品；</w:t>
      </w:r>
    </w:p>
    <w:p w14:paraId="2A800EA2">
      <w:pPr>
        <w:keepNext w:val="0"/>
        <w:keepLines w:val="0"/>
        <w:pageBreakBefore w:val="0"/>
        <w:widowControl w:val="0"/>
        <w:tabs>
          <w:tab w:val="left" w:pos="420"/>
          <w:tab w:val="bar" w:pos="11340"/>
        </w:tabs>
        <w:kinsoku/>
        <w:wordWrap/>
        <w:overflowPunct/>
        <w:topLinePunct w:val="0"/>
        <w:autoSpaceDE/>
        <w:autoSpaceDN/>
        <w:bidi w:val="0"/>
        <w:adjustRightInd/>
        <w:snapToGrid/>
        <w:spacing w:line="360" w:lineRule="auto"/>
        <w:ind w:firstLine="480" w:firstLineChars="200"/>
        <w:textAlignment w:val="auto"/>
        <w:rPr>
          <w:rFonts w:hint="eastAsia"/>
          <w:color w:val="auto"/>
          <w:highlight w:val="none"/>
        </w:rPr>
      </w:pPr>
      <w:r>
        <w:rPr>
          <w:rFonts w:hint="eastAsia" w:ascii="宋体" w:hAnsi="宋体"/>
          <w:color w:val="auto"/>
          <w:sz w:val="24"/>
          <w:highlight w:val="none"/>
        </w:rPr>
        <w:t>4.2.3.2</w:t>
      </w:r>
      <w:r>
        <w:rPr>
          <w:rFonts w:hint="eastAsia" w:ascii="宋体" w:hAnsi="宋体"/>
          <w:color w:val="auto"/>
          <w:sz w:val="24"/>
          <w:highlight w:val="none"/>
          <w:lang w:val="en-US" w:eastAsia="zh-CN"/>
        </w:rPr>
        <w:t xml:space="preserve"> </w:t>
      </w:r>
      <w:r>
        <w:rPr>
          <w:rFonts w:hint="eastAsia" w:ascii="宋体" w:hAnsi="宋体"/>
          <w:color w:val="auto"/>
          <w:sz w:val="24"/>
          <w:highlight w:val="none"/>
        </w:rPr>
        <w:t>供应商须保证所提供的控制软件为正版软件，并能得到原产厂家技术支持及升级服务。</w:t>
      </w:r>
    </w:p>
    <w:p w14:paraId="355F7BC4">
      <w:pPr>
        <w:keepNext w:val="0"/>
        <w:keepLines w:val="0"/>
        <w:pageBreakBefore w:val="0"/>
        <w:widowControl/>
        <w:numPr>
          <w:ilvl w:val="0"/>
          <w:numId w:val="0"/>
        </w:numPr>
        <w:tabs>
          <w:tab w:val="left" w:pos="8010"/>
        </w:tabs>
        <w:kinsoku/>
        <w:wordWrap/>
        <w:overflowPunct/>
        <w:topLinePunct w:val="0"/>
        <w:bidi w:val="0"/>
        <w:adjustRightInd/>
        <w:snapToGrid/>
        <w:spacing w:line="360" w:lineRule="auto"/>
        <w:rPr>
          <w:rFonts w:hint="eastAsia" w:ascii="宋体" w:hAnsi="宋体" w:eastAsia="宋体" w:cs="宋体"/>
          <w:b/>
          <w:color w:val="auto"/>
          <w:sz w:val="24"/>
          <w:szCs w:val="24"/>
          <w:highlight w:val="none"/>
        </w:rPr>
      </w:pPr>
      <w:r>
        <w:rPr>
          <w:rFonts w:hint="eastAsia" w:ascii="宋体" w:hAnsi="宋体" w:eastAsia="宋体" w:cs="宋体"/>
          <w:b/>
          <w:color w:val="auto"/>
          <w:kern w:val="2"/>
          <w:sz w:val="24"/>
          <w:szCs w:val="24"/>
          <w:highlight w:val="none"/>
          <w:lang w:val="en-US" w:eastAsia="zh-CN" w:bidi="ar-SA"/>
        </w:rPr>
        <w:t>5.</w:t>
      </w:r>
      <w:r>
        <w:rPr>
          <w:rFonts w:hint="eastAsia" w:ascii="宋体" w:hAnsi="宋体" w:eastAsia="宋体" w:cs="宋体"/>
          <w:b/>
          <w:color w:val="auto"/>
          <w:sz w:val="24"/>
          <w:szCs w:val="24"/>
          <w:highlight w:val="none"/>
        </w:rPr>
        <w:t>包装及运输要求：</w:t>
      </w:r>
    </w:p>
    <w:p w14:paraId="71388694">
      <w:pPr>
        <w:keepNext w:val="0"/>
        <w:keepLines w:val="0"/>
        <w:pageBreakBefore w:val="0"/>
        <w:widowControl/>
        <w:kinsoku/>
        <w:wordWrap/>
        <w:overflowPunct/>
        <w:topLinePunct w:val="0"/>
        <w:bidi w:val="0"/>
        <w:adjustRightInd/>
        <w:snapToGrid/>
        <w:spacing w:line="360" w:lineRule="auto"/>
        <w:ind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5.1</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供应商负责设备运输到交货地点。</w:t>
      </w:r>
    </w:p>
    <w:p w14:paraId="14CAB686">
      <w:pPr>
        <w:keepNext w:val="0"/>
        <w:keepLines w:val="0"/>
        <w:pageBreakBefore w:val="0"/>
        <w:widowControl/>
        <w:kinsoku/>
        <w:wordWrap/>
        <w:overflowPunct/>
        <w:topLinePunct w:val="0"/>
        <w:bidi w:val="0"/>
        <w:adjustRightInd/>
        <w:snapToGrid/>
        <w:spacing w:line="360" w:lineRule="auto"/>
        <w:ind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5.2 无论在何种运输方式下，供应商应保证货物包装完好无锈蚀，安全运抵目的地。应使用崭新坚固的包装（标准包装），适合于空运、海运或陆运等长途运输方式和标准；包装箱应防潮、防锈、防震、防粗暴装卸、适合气候变化；供应商应对任何由于不当包装或防护措施不利而导致的商品损坏、损失、费用增长等后果负责。</w:t>
      </w:r>
    </w:p>
    <w:p w14:paraId="322DD7D4">
      <w:pPr>
        <w:bidi w:val="0"/>
        <w:rPr>
          <w:rFonts w:hint="eastAsia"/>
          <w:color w:val="auto"/>
          <w:highlight w:val="none"/>
        </w:rPr>
      </w:pPr>
    </w:p>
    <w:p w14:paraId="314C0F98">
      <w:pPr>
        <w:keepNext w:val="0"/>
        <w:keepLines w:val="0"/>
        <w:pageBreakBefore w:val="0"/>
        <w:widowControl/>
        <w:kinsoku/>
        <w:wordWrap/>
        <w:overflowPunct/>
        <w:topLinePunct w:val="0"/>
        <w:bidi w:val="0"/>
        <w:adjustRightInd/>
        <w:snapToGrid/>
        <w:spacing w:line="360" w:lineRule="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6、交货日期：</w:t>
      </w:r>
      <w:r>
        <w:rPr>
          <w:rFonts w:hint="eastAsia" w:ascii="宋体" w:hAnsi="宋体" w:eastAsia="宋体" w:cs="宋体"/>
          <w:color w:val="auto"/>
          <w:sz w:val="24"/>
          <w:szCs w:val="24"/>
          <w:highlight w:val="none"/>
        </w:rPr>
        <w:t>合同签订后的</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个月内交货；</w:t>
      </w:r>
    </w:p>
    <w:p w14:paraId="3C978517">
      <w:pPr>
        <w:bidi w:val="0"/>
        <w:rPr>
          <w:rFonts w:hint="eastAsia"/>
          <w:color w:val="auto"/>
          <w:highlight w:val="none"/>
        </w:rPr>
      </w:pPr>
    </w:p>
    <w:p w14:paraId="6CE61085">
      <w:pPr>
        <w:keepNext w:val="0"/>
        <w:keepLines w:val="0"/>
        <w:pageBreakBefore w:val="0"/>
        <w:widowControl/>
        <w:kinsoku/>
        <w:wordWrap/>
        <w:overflowPunct/>
        <w:topLinePunct w:val="0"/>
        <w:bidi w:val="0"/>
        <w:adjustRightInd/>
        <w:snapToGrid/>
        <w:spacing w:line="360" w:lineRule="auto"/>
        <w:rPr>
          <w:rFonts w:hint="eastAsia" w:ascii="宋体" w:hAnsi="宋体" w:eastAsia="宋体" w:cs="宋体"/>
          <w:color w:val="auto"/>
          <w:sz w:val="24"/>
          <w:szCs w:val="24"/>
          <w:highlight w:val="none"/>
        </w:rPr>
      </w:pPr>
      <w:bookmarkStart w:id="2" w:name="OLE_LINK3"/>
      <w:r>
        <w:rPr>
          <w:rFonts w:hint="eastAsia" w:ascii="宋体" w:hAnsi="宋体" w:eastAsia="宋体" w:cs="宋体"/>
          <w:b/>
          <w:color w:val="auto"/>
          <w:sz w:val="24"/>
          <w:szCs w:val="24"/>
          <w:highlight w:val="none"/>
        </w:rPr>
        <w:t>7、</w:t>
      </w:r>
      <w:bookmarkEnd w:id="2"/>
      <w:r>
        <w:rPr>
          <w:rFonts w:hint="eastAsia" w:ascii="宋体" w:hAnsi="宋体" w:eastAsia="宋体" w:cs="宋体"/>
          <w:b/>
          <w:color w:val="auto"/>
          <w:sz w:val="24"/>
          <w:szCs w:val="24"/>
          <w:highlight w:val="none"/>
          <w:lang w:val="en-US" w:eastAsia="zh-CN"/>
        </w:rPr>
        <w:t>交货地点：</w:t>
      </w:r>
      <w:r>
        <w:rPr>
          <w:rFonts w:hint="eastAsia" w:ascii="宋体" w:hAnsi="宋体"/>
          <w:color w:val="auto"/>
          <w:sz w:val="24"/>
          <w:highlight w:val="none"/>
        </w:rPr>
        <w:t>中国科学院微电子研究所指定地点</w:t>
      </w:r>
    </w:p>
    <w:p w14:paraId="2B4FD5A4">
      <w:pPr>
        <w:bidi w:val="0"/>
        <w:rPr>
          <w:rFonts w:hint="eastAsia"/>
          <w:color w:val="auto"/>
          <w:highlight w:val="none"/>
        </w:rPr>
      </w:pPr>
    </w:p>
    <w:p w14:paraId="1FAC131D">
      <w:pPr>
        <w:keepNext w:val="0"/>
        <w:keepLines w:val="0"/>
        <w:pageBreakBefore w:val="0"/>
        <w:widowControl/>
        <w:kinsoku/>
        <w:wordWrap/>
        <w:overflowPunct/>
        <w:topLinePunct w:val="0"/>
        <w:bidi w:val="0"/>
        <w:adjustRightInd/>
        <w:snapToGrid/>
        <w:spacing w:line="360" w:lineRule="auto"/>
        <w:rPr>
          <w:rFonts w:hint="eastAsia" w:ascii="宋体" w:hAnsi="宋体" w:eastAsia="宋体" w:cs="宋体"/>
          <w:b/>
          <w:bCs/>
          <w:color w:val="auto"/>
          <w:sz w:val="24"/>
          <w:szCs w:val="24"/>
          <w:highlight w:val="none"/>
        </w:rPr>
      </w:pPr>
      <w:r>
        <w:rPr>
          <w:rFonts w:hint="eastAsia" w:ascii="宋体" w:hAnsi="宋体" w:eastAsia="宋体" w:cs="宋体"/>
          <w:b/>
          <w:color w:val="auto"/>
          <w:sz w:val="24"/>
          <w:szCs w:val="24"/>
          <w:highlight w:val="none"/>
        </w:rPr>
        <w:t>8、执行的相关标准</w:t>
      </w:r>
      <w:r>
        <w:rPr>
          <w:rFonts w:hint="eastAsia" w:ascii="宋体" w:hAnsi="宋体" w:eastAsia="宋体" w:cs="宋体"/>
          <w:b/>
          <w:color w:val="auto"/>
          <w:sz w:val="24"/>
          <w:szCs w:val="24"/>
          <w:highlight w:val="none"/>
          <w:lang w:eastAsia="zh-CN"/>
        </w:rPr>
        <w:t>：</w:t>
      </w:r>
      <w:r>
        <w:rPr>
          <w:rFonts w:hint="eastAsia" w:ascii="宋体" w:hAnsi="宋体" w:eastAsia="宋体" w:cs="宋体"/>
          <w:b/>
          <w:bCs/>
          <w:color w:val="auto"/>
          <w:sz w:val="24"/>
          <w:szCs w:val="24"/>
          <w:highlight w:val="none"/>
        </w:rPr>
        <w:t>无</w:t>
      </w:r>
    </w:p>
    <w:p w14:paraId="6F3BDA3D">
      <w:pPr>
        <w:bidi w:val="0"/>
        <w:rPr>
          <w:rFonts w:hint="eastAsia"/>
          <w:color w:val="auto"/>
          <w:highlight w:val="none"/>
        </w:rPr>
      </w:pPr>
    </w:p>
    <w:p w14:paraId="680CEC16">
      <w:pPr>
        <w:keepNext w:val="0"/>
        <w:keepLines w:val="0"/>
        <w:pageBreakBefore w:val="0"/>
        <w:widowControl/>
        <w:kinsoku/>
        <w:wordWrap/>
        <w:overflowPunct/>
        <w:topLinePunct w:val="0"/>
        <w:bidi w:val="0"/>
        <w:adjustRightInd/>
        <w:snapToGrid/>
        <w:spacing w:line="360" w:lineRule="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9、其它</w:t>
      </w:r>
    </w:p>
    <w:p w14:paraId="4CF06A74">
      <w:pPr>
        <w:keepNext w:val="0"/>
        <w:keepLines w:val="0"/>
        <w:pageBreakBefore w:val="0"/>
        <w:widowControl/>
        <w:kinsoku/>
        <w:wordWrap/>
        <w:overflowPunct/>
        <w:topLinePunct w:val="0"/>
        <w:bidi w:val="0"/>
        <w:adjustRightInd/>
        <w:snapToGrid/>
        <w:spacing w:line="360" w:lineRule="auto"/>
        <w:ind w:left="315" w:leftChars="1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9.1对仪器设备生产厂家要求：</w:t>
      </w:r>
    </w:p>
    <w:p w14:paraId="5892285D">
      <w:pPr>
        <w:keepNext w:val="0"/>
        <w:keepLines w:val="0"/>
        <w:pageBreakBefore w:val="0"/>
        <w:widowControl/>
        <w:kinsoku/>
        <w:wordWrap/>
        <w:overflowPunct/>
        <w:topLinePunct w:val="0"/>
        <w:bidi w:val="0"/>
        <w:adjustRightInd/>
        <w:snapToGrid/>
        <w:spacing w:line="360" w:lineRule="auto"/>
        <w:ind w:left="315" w:leftChars="1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厂家应具备一定规模的科研、生产、技术支持及售后服务能力。</w:t>
      </w:r>
    </w:p>
    <w:p w14:paraId="5EC5B6AA">
      <w:pPr>
        <w:keepNext w:val="0"/>
        <w:keepLines w:val="0"/>
        <w:pageBreakBefore w:val="0"/>
        <w:widowControl/>
        <w:kinsoku/>
        <w:wordWrap/>
        <w:overflowPunct/>
        <w:topLinePunct w:val="0"/>
        <w:bidi w:val="0"/>
        <w:adjustRightInd/>
        <w:snapToGrid/>
        <w:spacing w:line="360" w:lineRule="auto"/>
        <w:ind w:left="315" w:leftChars="1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厂家在国内设有技术支持中心及维修中心 。</w:t>
      </w:r>
    </w:p>
    <w:p w14:paraId="148324CA">
      <w:pPr>
        <w:keepNext w:val="0"/>
        <w:keepLines w:val="0"/>
        <w:pageBreakBefore w:val="0"/>
        <w:widowControl/>
        <w:kinsoku/>
        <w:wordWrap/>
        <w:overflowPunct/>
        <w:topLinePunct w:val="0"/>
        <w:bidi w:val="0"/>
        <w:adjustRightInd/>
        <w:snapToGrid/>
        <w:spacing w:line="360" w:lineRule="auto"/>
        <w:ind w:left="315" w:leftChars="1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★9.2 供应商同意并保证尊重任何他方的知识产权及其它合法权益，承诺其所提供的产品或服务均不得侵犯第三方知识产权及其它合法权益，否则所引起的全部责任均应当由供应商承担。</w:t>
      </w:r>
    </w:p>
    <w:p w14:paraId="59DD964A">
      <w:pPr>
        <w:bidi w:val="0"/>
        <w:rPr>
          <w:rFonts w:hint="eastAsia"/>
          <w:color w:val="auto"/>
          <w:highlight w:val="none"/>
        </w:rPr>
      </w:pPr>
    </w:p>
    <w:p w14:paraId="520FADDA">
      <w:pPr>
        <w:keepNext w:val="0"/>
        <w:keepLines w:val="0"/>
        <w:pageBreakBefore w:val="0"/>
        <w:widowControl/>
        <w:tabs>
          <w:tab w:val="left" w:pos="900"/>
        </w:tabs>
        <w:kinsoku/>
        <w:wordWrap/>
        <w:overflowPunct/>
        <w:topLinePunct w:val="0"/>
        <w:bidi w:val="0"/>
        <w:adjustRightInd/>
        <w:snapToGrid/>
        <w:spacing w:line="360" w:lineRule="auto"/>
        <w:jc w:val="left"/>
        <w:rPr>
          <w:rFonts w:hint="eastAsia" w:ascii="宋体" w:hAnsi="宋体" w:eastAsia="宋体" w:cs="宋体"/>
          <w:color w:val="auto"/>
          <w:sz w:val="24"/>
          <w:szCs w:val="24"/>
          <w:highlight w:val="none"/>
        </w:rPr>
      </w:pPr>
      <w:r>
        <w:rPr>
          <w:rFonts w:hint="eastAsia" w:ascii="宋体" w:hAnsi="宋体" w:eastAsia="宋体" w:cs="宋体"/>
          <w:b/>
          <w:bCs/>
          <w:color w:val="auto"/>
          <w:kern w:val="0"/>
          <w:sz w:val="24"/>
          <w:szCs w:val="24"/>
          <w:highlight w:val="none"/>
        </w:rPr>
        <w:t>10、付款方式：</w:t>
      </w:r>
      <w:r>
        <w:rPr>
          <w:rFonts w:hint="eastAsia" w:ascii="宋体" w:hAnsi="宋体"/>
          <w:color w:val="auto"/>
          <w:sz w:val="24"/>
          <w:highlight w:val="none"/>
        </w:rPr>
        <w:t>合同双方签订后，甲方按照货款30%支付预付款，系统交付并完成组装调试后甲方支付货款60%。系统测试运行</w:t>
      </w:r>
      <w:r>
        <w:rPr>
          <w:rFonts w:hint="eastAsia" w:ascii="宋体" w:hAnsi="宋体"/>
          <w:color w:val="auto"/>
          <w:sz w:val="24"/>
          <w:highlight w:val="none"/>
          <w:lang w:val="en-US" w:eastAsia="zh-CN"/>
        </w:rPr>
        <w:t>2</w:t>
      </w:r>
      <w:r>
        <w:rPr>
          <w:rFonts w:hint="eastAsia" w:ascii="宋体" w:hAnsi="宋体"/>
          <w:color w:val="auto"/>
          <w:sz w:val="24"/>
          <w:highlight w:val="none"/>
        </w:rPr>
        <w:t>周后甲方完成验收并支付货款10%；</w:t>
      </w:r>
    </w:p>
    <w:p w14:paraId="08C56585">
      <w:pPr>
        <w:bidi w:val="0"/>
        <w:rPr>
          <w:rFonts w:hint="eastAsia"/>
          <w:color w:val="auto"/>
          <w:highlight w:val="none"/>
        </w:rPr>
      </w:pPr>
    </w:p>
    <w:p w14:paraId="7BA3DBF9">
      <w:pPr>
        <w:keepNext w:val="0"/>
        <w:keepLines w:val="0"/>
        <w:pageBreakBefore w:val="0"/>
        <w:widowControl/>
        <w:tabs>
          <w:tab w:val="left" w:pos="0"/>
        </w:tabs>
        <w:kinsoku/>
        <w:wordWrap/>
        <w:overflowPunct/>
        <w:topLinePunct w:val="0"/>
        <w:bidi w:val="0"/>
        <w:adjustRightInd/>
        <w:snapToGrid/>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★11</w:t>
      </w:r>
      <w:r>
        <w:rPr>
          <w:rFonts w:hint="eastAsia" w:ascii="宋体" w:hAnsi="宋体" w:eastAsia="宋体" w:cs="宋体"/>
          <w:b/>
          <w:bCs/>
          <w:color w:val="auto"/>
          <w:sz w:val="24"/>
          <w:szCs w:val="24"/>
          <w:highlight w:val="none"/>
        </w:rPr>
        <w:t>、投标报价要求：</w:t>
      </w:r>
    </w:p>
    <w:p w14:paraId="44D2E9F0">
      <w:pPr>
        <w:keepNext w:val="0"/>
        <w:keepLines w:val="0"/>
        <w:pageBreakBefore w:val="0"/>
        <w:kinsoku/>
        <w:wordWrap/>
        <w:overflowPunct/>
        <w:topLinePunct w:val="0"/>
        <w:bidi w:val="0"/>
        <w:adjustRightInd/>
        <w:snapToGrid/>
        <w:spacing w:line="360" w:lineRule="auto"/>
        <w:rPr>
          <w:rFonts w:hint="eastAsia" w:ascii="宋体" w:hAnsi="宋体" w:cs="宋体"/>
          <w:color w:val="auto"/>
          <w:sz w:val="24"/>
          <w:highlight w:val="none"/>
        </w:rPr>
      </w:pPr>
      <w:r>
        <w:rPr>
          <w:rFonts w:hint="eastAsia" w:ascii="宋体" w:hAnsi="宋体" w:cs="宋体"/>
          <w:color w:val="auto"/>
          <w:sz w:val="24"/>
          <w:highlight w:val="none"/>
        </w:rPr>
        <w:t>（1）本项目不允许采购进口产品（进口产品是指通过中国海关报关验放进入中国境内且产自关境外的产品）</w:t>
      </w:r>
    </w:p>
    <w:p w14:paraId="4DAE2BF2">
      <w:pPr>
        <w:keepNext w:val="0"/>
        <w:keepLines w:val="0"/>
        <w:pageBreakBefore w:val="0"/>
        <w:kinsoku/>
        <w:wordWrap/>
        <w:overflowPunct/>
        <w:topLinePunct w:val="0"/>
        <w:bidi w:val="0"/>
        <w:adjustRightInd/>
        <w:snapToGrid/>
        <w:spacing w:line="360" w:lineRule="auto"/>
        <w:rPr>
          <w:rFonts w:hint="eastAsia" w:ascii="宋体" w:hAnsi="宋体" w:cs="宋体"/>
          <w:color w:val="auto"/>
          <w:sz w:val="24"/>
          <w:highlight w:val="none"/>
        </w:rPr>
      </w:pPr>
      <w:r>
        <w:rPr>
          <w:rFonts w:hint="eastAsia" w:ascii="宋体" w:hAnsi="宋体" w:cs="宋体"/>
          <w:color w:val="auto"/>
          <w:sz w:val="24"/>
          <w:highlight w:val="none"/>
        </w:rPr>
        <w:t>（2）国产产品与服务报项目现场交货人民币价。报价中需包括制造、装配和发运货物所使用的材料、部件及货物本身已支付或将支付的产品税、销售税和其它税费。</w:t>
      </w:r>
    </w:p>
    <w:p w14:paraId="7E41C142">
      <w:pPr>
        <w:keepNext w:val="0"/>
        <w:keepLines w:val="0"/>
        <w:pageBreakBefore w:val="0"/>
        <w:kinsoku/>
        <w:wordWrap/>
        <w:overflowPunct/>
        <w:topLinePunct w:val="0"/>
        <w:bidi w:val="0"/>
        <w:adjustRightInd/>
        <w:snapToGrid/>
        <w:spacing w:line="360" w:lineRule="auto"/>
        <w:rPr>
          <w:rFonts w:hint="eastAsia" w:ascii="宋体" w:hAnsi="宋体" w:cs="宋体"/>
          <w:color w:val="auto"/>
          <w:sz w:val="24"/>
          <w:highlight w:val="none"/>
        </w:rPr>
      </w:pPr>
      <w:r>
        <w:rPr>
          <w:rFonts w:hint="eastAsia" w:ascii="宋体" w:hAnsi="宋体" w:cs="宋体"/>
          <w:color w:val="auto"/>
          <w:sz w:val="24"/>
          <w:highlight w:val="none"/>
        </w:rPr>
        <w:t>（3）在中国境内的海关特殊监管区域内生产或加工销往境内其他地区的产品，不视为政府采购项下的进口产品，报CIP项目现场美元、欧元、英镑、日元或人民币价(不包括外贸代理费应向中华人民共和国政府缴纳的进口环节税。)投标报价如为外币，按以下公式换算为人民币，换算后的人民币价格若高于采购预算(设置最高限价的，以最高限价为准)，投标将拒绝:换算后人民币价格=投标报价(外币)x汇率(说明:汇率为开标当日中国银行总行首次发布的外币对人民币的现汇卖出价)。</w:t>
      </w:r>
    </w:p>
    <w:p w14:paraId="216BE991">
      <w:pPr>
        <w:keepNext w:val="0"/>
        <w:keepLines w:val="0"/>
        <w:pageBreakBefore w:val="0"/>
        <w:kinsoku/>
        <w:wordWrap/>
        <w:overflowPunct/>
        <w:topLinePunct w:val="0"/>
        <w:bidi w:val="0"/>
        <w:adjustRightInd/>
        <w:snapToGrid/>
        <w:spacing w:line="360" w:lineRule="auto"/>
        <w:rPr>
          <w:rFonts w:hint="eastAsia" w:ascii="宋体" w:hAnsi="宋体" w:cs="宋体"/>
          <w:bCs/>
          <w:color w:val="auto"/>
          <w:sz w:val="24"/>
          <w:highlight w:val="none"/>
        </w:rPr>
      </w:pPr>
      <w:r>
        <w:rPr>
          <w:rFonts w:hint="eastAsia" w:ascii="宋体" w:hAnsi="宋体" w:cs="宋体"/>
          <w:color w:val="auto"/>
          <w:sz w:val="24"/>
          <w:highlight w:val="none"/>
        </w:rPr>
        <w:t>（4）上述价格的构成须按在分项报价表中格式要求详细列出。</w:t>
      </w:r>
    </w:p>
    <w:p w14:paraId="7A1D76C5">
      <w:pPr>
        <w:bidi w:val="0"/>
        <w:rPr>
          <w:rFonts w:hint="eastAsia"/>
          <w:color w:val="auto"/>
          <w:highlight w:val="none"/>
        </w:rPr>
      </w:pPr>
    </w:p>
    <w:p w14:paraId="3CB284C8">
      <w:pPr>
        <w:keepNext w:val="0"/>
        <w:keepLines w:val="0"/>
        <w:pageBreakBefore w:val="0"/>
        <w:widowControl/>
        <w:tabs>
          <w:tab w:val="left" w:pos="900"/>
        </w:tabs>
        <w:kinsoku/>
        <w:wordWrap/>
        <w:overflowPunct/>
        <w:topLinePunct w:val="0"/>
        <w:bidi w:val="0"/>
        <w:adjustRightInd/>
        <w:snapToGrid/>
        <w:spacing w:line="360" w:lineRule="auto"/>
        <w:jc w:val="left"/>
        <w:rPr>
          <w:rFonts w:hint="eastAsia" w:ascii="宋体" w:hAnsi="宋体" w:eastAsia="宋体" w:cs="宋体"/>
          <w:b/>
          <w:bCs/>
          <w:color w:val="auto"/>
          <w:kern w:val="0"/>
          <w:sz w:val="24"/>
          <w:szCs w:val="24"/>
          <w:highlight w:val="none"/>
          <w:u w:val="single"/>
        </w:rPr>
      </w:pPr>
      <w:r>
        <w:rPr>
          <w:rFonts w:hint="eastAsia" w:ascii="宋体" w:hAnsi="宋体" w:eastAsia="宋体" w:cs="宋体"/>
          <w:b/>
          <w:bCs/>
          <w:color w:val="auto"/>
          <w:kern w:val="0"/>
          <w:sz w:val="24"/>
          <w:szCs w:val="24"/>
          <w:highlight w:val="none"/>
        </w:rPr>
        <w:t>12、是否允许采购进口产品：</w:t>
      </w:r>
      <w:r>
        <w:rPr>
          <w:rFonts w:hint="eastAsia" w:ascii="宋体" w:hAnsi="宋体" w:eastAsia="宋体" w:cs="宋体"/>
          <w:b/>
          <w:bCs/>
          <w:color w:val="auto"/>
          <w:kern w:val="0"/>
          <w:sz w:val="24"/>
          <w:szCs w:val="24"/>
          <w:highlight w:val="none"/>
          <w:u w:val="single"/>
          <w:lang w:val="en-US" w:eastAsia="zh-CN"/>
        </w:rPr>
        <w:t xml:space="preserve"> </w:t>
      </w:r>
      <w:r>
        <w:rPr>
          <w:rFonts w:hint="eastAsia" w:ascii="宋体" w:hAnsi="宋体" w:eastAsia="宋体" w:cs="宋体"/>
          <w:b w:val="0"/>
          <w:bCs w:val="0"/>
          <w:color w:val="auto"/>
          <w:kern w:val="0"/>
          <w:sz w:val="24"/>
          <w:szCs w:val="24"/>
          <w:highlight w:val="none"/>
          <w:u w:val="single"/>
          <w:lang w:val="en-US" w:eastAsia="zh-CN"/>
        </w:rPr>
        <w:t>否</w:t>
      </w:r>
      <w:r>
        <w:rPr>
          <w:rFonts w:hint="eastAsia" w:ascii="宋体" w:hAnsi="宋体" w:eastAsia="宋体" w:cs="宋体"/>
          <w:b/>
          <w:bCs/>
          <w:color w:val="auto"/>
          <w:kern w:val="0"/>
          <w:sz w:val="24"/>
          <w:szCs w:val="24"/>
          <w:highlight w:val="none"/>
          <w:u w:val="single"/>
        </w:rPr>
        <w:t xml:space="preserve"> </w:t>
      </w:r>
    </w:p>
    <w:p w14:paraId="2F07496A">
      <w:pPr>
        <w:bidi w:val="0"/>
        <w:rPr>
          <w:rFonts w:hint="eastAsia"/>
          <w:color w:val="auto"/>
          <w:highlight w:val="none"/>
        </w:rPr>
      </w:pPr>
    </w:p>
    <w:p w14:paraId="51DDA28E">
      <w:pPr>
        <w:keepNext w:val="0"/>
        <w:keepLines w:val="0"/>
        <w:pageBreakBefore w:val="0"/>
        <w:widowControl/>
        <w:tabs>
          <w:tab w:val="left" w:pos="900"/>
        </w:tabs>
        <w:kinsoku/>
        <w:wordWrap/>
        <w:overflowPunct/>
        <w:topLinePunct w:val="0"/>
        <w:bidi w:val="0"/>
        <w:adjustRightInd/>
        <w:snapToGrid/>
        <w:spacing w:line="360" w:lineRule="auto"/>
        <w:jc w:val="left"/>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13、预算金额：</w:t>
      </w:r>
      <w:r>
        <w:rPr>
          <w:rFonts w:hint="eastAsia" w:ascii="宋体" w:hAnsi="宋体" w:eastAsia="宋体" w:cs="宋体"/>
          <w:b w:val="0"/>
          <w:bCs w:val="0"/>
          <w:color w:val="auto"/>
          <w:kern w:val="0"/>
          <w:sz w:val="24"/>
          <w:szCs w:val="24"/>
          <w:highlight w:val="none"/>
          <w:lang w:val="en-US" w:eastAsia="zh-CN"/>
        </w:rPr>
        <w:t>183</w:t>
      </w:r>
      <w:r>
        <w:rPr>
          <w:rFonts w:hint="eastAsia" w:ascii="宋体" w:hAnsi="宋体" w:eastAsia="宋体" w:cs="宋体"/>
          <w:b w:val="0"/>
          <w:bCs w:val="0"/>
          <w:color w:val="auto"/>
          <w:kern w:val="0"/>
          <w:sz w:val="24"/>
          <w:szCs w:val="24"/>
          <w:highlight w:val="none"/>
        </w:rPr>
        <w:t>万</w:t>
      </w:r>
    </w:p>
    <w:p w14:paraId="7B70AB27">
      <w:pPr>
        <w:keepNext w:val="0"/>
        <w:keepLines w:val="0"/>
        <w:pageBreakBefore w:val="0"/>
        <w:widowControl/>
        <w:tabs>
          <w:tab w:val="left" w:pos="900"/>
        </w:tabs>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最高限价（如有）：</w:t>
      </w:r>
      <w:r>
        <w:rPr>
          <w:rFonts w:hint="eastAsia" w:ascii="宋体" w:hAnsi="宋体" w:eastAsia="宋体" w:cs="宋体"/>
          <w:b w:val="0"/>
          <w:bCs w:val="0"/>
          <w:color w:val="auto"/>
          <w:kern w:val="0"/>
          <w:sz w:val="24"/>
          <w:szCs w:val="24"/>
          <w:highlight w:val="none"/>
          <w:lang w:val="en-US" w:eastAsia="zh-CN"/>
        </w:rPr>
        <w:t>183</w:t>
      </w:r>
      <w:r>
        <w:rPr>
          <w:rFonts w:hint="eastAsia" w:ascii="宋体" w:hAnsi="宋体" w:eastAsia="宋体" w:cs="宋体"/>
          <w:b w:val="0"/>
          <w:bCs w:val="0"/>
          <w:color w:val="auto"/>
          <w:kern w:val="0"/>
          <w:sz w:val="24"/>
          <w:szCs w:val="24"/>
          <w:highlight w:val="none"/>
        </w:rPr>
        <w:t>万</w:t>
      </w:r>
    </w:p>
    <w:p w14:paraId="7BE07911">
      <w:bookmarkStart w:id="3" w:name="_GoBack"/>
      <w:bookmarkEnd w:id="3"/>
    </w:p>
    <w:sectPr>
      <w:headerReference r:id="rId3" w:type="first"/>
      <w:footerReference r:id="rId5" w:type="first"/>
      <w:footerReference r:id="rId4" w:type="default"/>
      <w:pgSz w:w="11906" w:h="16838"/>
      <w:pgMar w:top="1418" w:right="1418" w:bottom="1418" w:left="1418" w:header="851" w:footer="992"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Bookman Old Style">
    <w:panose1 w:val="02050604050505020204"/>
    <w:charset w:val="00"/>
    <w:family w:val="roman"/>
    <w:pitch w:val="default"/>
    <w:sig w:usb0="00000287" w:usb1="00000000" w:usb2="00000000" w:usb3="00000000" w:csb0="2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FFC1FF">
    <w:pPr>
      <w:pStyle w:val="5"/>
      <w:jc w:val="center"/>
    </w:pPr>
    <w:r>
      <w:fldChar w:fldCharType="begin"/>
    </w:r>
    <w:r>
      <w:instrText xml:space="preserve">PAGE   \* MERGEFORMAT</w:instrText>
    </w:r>
    <w:r>
      <w:fldChar w:fldCharType="separate"/>
    </w:r>
    <w:r>
      <w:rPr>
        <w:lang w:val="zh-CN"/>
      </w:rPr>
      <w:t>76</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B73ED4">
    <w:pPr>
      <w:pStyle w:val="5"/>
      <w:jc w:val="center"/>
    </w:pPr>
    <w:r>
      <w:fldChar w:fldCharType="begin"/>
    </w:r>
    <w:r>
      <w:instrText xml:space="preserve">PAGE   \* MERGEFORMAT</w:instrText>
    </w:r>
    <w:r>
      <w:fldChar w:fldCharType="separate"/>
    </w:r>
    <w:r>
      <w:rPr>
        <w:lang w:val="zh-CN"/>
      </w:rPr>
      <w:t>44</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703656"/>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78D1319"/>
    <w:rsid w:val="278D13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2">
    <w:name w:val="Body Text First Indent 2"/>
    <w:basedOn w:val="3"/>
    <w:unhideWhenUsed/>
    <w:qFormat/>
    <w:uiPriority w:val="99"/>
    <w:pPr>
      <w:ind w:left="420" w:firstLine="420" w:firstLineChars="200"/>
    </w:pPr>
  </w:style>
  <w:style w:type="paragraph" w:styleId="3">
    <w:name w:val="Body Text Indent"/>
    <w:basedOn w:val="1"/>
    <w:next w:val="4"/>
    <w:uiPriority w:val="0"/>
    <w:pPr>
      <w:spacing w:after="120"/>
      <w:ind w:left="420" w:leftChars="200"/>
    </w:pPr>
  </w:style>
  <w:style w:type="paragraph" w:styleId="4">
    <w:name w:val="envelope return"/>
    <w:basedOn w:val="1"/>
    <w:unhideWhenUsed/>
    <w:qFormat/>
    <w:uiPriority w:val="99"/>
    <w:pPr>
      <w:snapToGrid w:val="0"/>
    </w:pPr>
    <w:rPr>
      <w:rFonts w:ascii="Arial" w:hAnsi="Arial"/>
    </w:rPr>
  </w:style>
  <w:style w:type="paragraph" w:styleId="5">
    <w:name w:val="footer"/>
    <w:basedOn w:val="1"/>
    <w:qFormat/>
    <w:uiPriority w:val="99"/>
    <w:pPr>
      <w:tabs>
        <w:tab w:val="center" w:pos="4153"/>
        <w:tab w:val="right" w:pos="8306"/>
      </w:tabs>
      <w:snapToGrid w:val="0"/>
      <w:jc w:val="left"/>
    </w:pPr>
    <w:rPr>
      <w:sz w:val="18"/>
      <w:szCs w:val="18"/>
    </w:rPr>
  </w:style>
  <w:style w:type="paragraph" w:customStyle="1" w:styleId="8">
    <w:name w:val="A正文"/>
    <w:basedOn w:val="1"/>
    <w:qFormat/>
    <w:uiPriority w:val="0"/>
    <w:pPr>
      <w:adjustRightInd w:val="0"/>
      <w:snapToGrid w:val="0"/>
      <w:spacing w:line="360" w:lineRule="auto"/>
      <w:ind w:firstLine="480" w:firstLineChars="200"/>
    </w:pPr>
    <w:rPr>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2026-08-05T06:33:00Z</dcterms:created>
  <dc:creator>H</dc:creator>
  <cp:lastModifiedBy>H</cp:lastModifiedBy>
  <dcterms:modified xsi:type="dcterms:W3CDTF">2026-08-05T06:33:56Z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621172C2BCEB4FE381CA6BFEE6ED642A_11</vt:lpwstr>
  </property>
  <property fmtid="{D5CDD505-2E9C-101B-9397-08002B2CF9AE}" pid="4" name="KSOTemplateDocerSaveRecord">
    <vt:lpwstr>eyJoZGlkIjoiZWM0N2Y3ZDdkMmJmOGFmNDdmYjQzZDRlZDUyZWI2ZGMiLCJ1c2VySWQiOiI5OTQ3NTAxMjIifQ==</vt:lpwstr>
  </property>
</Properties>
</file>