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E2159">
      <w:pPr>
        <w:widowControl/>
        <w:snapToGrid w:val="0"/>
        <w:spacing w:line="360" w:lineRule="auto"/>
        <w:rPr>
          <w:rFonts w:hint="eastAsia" w:ascii="仿宋" w:hAnsi="仿宋" w:eastAsia="仿宋" w:cs="仿宋"/>
          <w:b/>
          <w:color w:val="auto"/>
          <w:kern w:val="0"/>
          <w:sz w:val="44"/>
          <w:szCs w:val="44"/>
          <w:highlight w:val="none"/>
        </w:rPr>
      </w:pPr>
    </w:p>
    <w:p w14:paraId="487003F1">
      <w:pPr>
        <w:widowControl/>
        <w:snapToGrid w:val="0"/>
        <w:spacing w:line="360" w:lineRule="auto"/>
        <w:jc w:val="center"/>
        <w:rPr>
          <w:rFonts w:hint="eastAsia" w:ascii="仿宋" w:hAnsi="仿宋" w:eastAsia="仿宋" w:cs="仿宋"/>
          <w:b/>
          <w:color w:val="auto"/>
          <w:kern w:val="0"/>
          <w:sz w:val="52"/>
          <w:szCs w:val="52"/>
          <w:highlight w:val="none"/>
          <w:lang w:eastAsia="zh-CN"/>
        </w:rPr>
      </w:pPr>
      <w:r>
        <w:rPr>
          <w:rFonts w:hint="eastAsia" w:ascii="仿宋" w:hAnsi="仿宋" w:eastAsia="仿宋" w:cs="仿宋"/>
          <w:b/>
          <w:color w:val="auto"/>
          <w:kern w:val="0"/>
          <w:sz w:val="60"/>
          <w:szCs w:val="60"/>
          <w:highlight w:val="none"/>
          <w:lang w:eastAsia="zh-CN"/>
        </w:rPr>
        <w:t>山西大学激光直写微纳结构制备系统等设备采购项目</w:t>
      </w:r>
    </w:p>
    <w:p w14:paraId="19544156">
      <w:pPr>
        <w:widowControl/>
        <w:snapToGrid w:val="0"/>
        <w:spacing w:line="360" w:lineRule="auto"/>
        <w:jc w:val="center"/>
        <w:rPr>
          <w:rFonts w:hint="eastAsia" w:ascii="仿宋" w:hAnsi="仿宋" w:eastAsia="仿宋" w:cs="仿宋"/>
          <w:b/>
          <w:color w:val="auto"/>
          <w:kern w:val="0"/>
          <w:sz w:val="44"/>
          <w:szCs w:val="44"/>
          <w:highlight w:val="none"/>
        </w:rPr>
      </w:pPr>
    </w:p>
    <w:p w14:paraId="29B5F7E3">
      <w:pPr>
        <w:spacing w:line="360" w:lineRule="auto"/>
        <w:rPr>
          <w:rFonts w:hint="eastAsia" w:ascii="仿宋" w:hAnsi="仿宋" w:eastAsia="仿宋" w:cs="仿宋"/>
          <w:color w:val="auto"/>
          <w:highlight w:val="none"/>
        </w:rPr>
      </w:pPr>
    </w:p>
    <w:p w14:paraId="6902F955">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color w:val="auto"/>
          <w:kern w:val="0"/>
          <w:sz w:val="84"/>
          <w:szCs w:val="84"/>
          <w:highlight w:val="none"/>
        </w:rPr>
      </w:pPr>
      <w:r>
        <w:rPr>
          <w:rFonts w:hint="eastAsia" w:ascii="仿宋" w:hAnsi="仿宋" w:eastAsia="仿宋" w:cs="仿宋"/>
          <w:b/>
          <w:bCs/>
          <w:color w:val="auto"/>
          <w:spacing w:val="20"/>
          <w:kern w:val="0"/>
          <w:sz w:val="84"/>
          <w:szCs w:val="84"/>
          <w:highlight w:val="none"/>
        </w:rPr>
        <w:t>竞争性谈判文件</w:t>
      </w:r>
    </w:p>
    <w:p w14:paraId="05129BB3">
      <w:pPr>
        <w:keepNext w:val="0"/>
        <w:keepLines w:val="0"/>
        <w:pageBreakBefore w:val="0"/>
        <w:widowControl/>
        <w:kinsoku/>
        <w:wordWrap/>
        <w:overflowPunct/>
        <w:topLinePunct w:val="0"/>
        <w:autoSpaceDE/>
        <w:autoSpaceDN/>
        <w:bidi w:val="0"/>
        <w:adjustRightInd/>
        <w:snapToGrid w:val="0"/>
        <w:spacing w:line="360" w:lineRule="auto"/>
        <w:ind w:firstLine="1606" w:firstLineChars="500"/>
        <w:jc w:val="left"/>
        <w:textAlignment w:val="auto"/>
        <w:rPr>
          <w:rFonts w:hint="eastAsia" w:ascii="仿宋" w:hAnsi="仿宋" w:eastAsia="仿宋" w:cs="仿宋"/>
          <w:b/>
          <w:color w:val="auto"/>
          <w:kern w:val="0"/>
          <w:sz w:val="32"/>
          <w:szCs w:val="32"/>
          <w:highlight w:val="none"/>
        </w:rPr>
      </w:pPr>
    </w:p>
    <w:p w14:paraId="30934737">
      <w:pPr>
        <w:bidi w:val="0"/>
        <w:rPr>
          <w:rFonts w:hint="eastAsia"/>
          <w:color w:val="auto"/>
          <w:highlight w:val="none"/>
        </w:rPr>
      </w:pPr>
    </w:p>
    <w:p w14:paraId="1840D082">
      <w:pPr>
        <w:keepNext w:val="0"/>
        <w:keepLines w:val="0"/>
        <w:pageBreakBefore w:val="0"/>
        <w:widowControl/>
        <w:kinsoku/>
        <w:wordWrap/>
        <w:overflowPunct/>
        <w:topLinePunct w:val="0"/>
        <w:autoSpaceDE/>
        <w:autoSpaceDN/>
        <w:bidi w:val="0"/>
        <w:adjustRightInd/>
        <w:snapToGrid w:val="0"/>
        <w:spacing w:line="360" w:lineRule="auto"/>
        <w:ind w:firstLine="1606" w:firstLineChars="500"/>
        <w:jc w:val="left"/>
        <w:textAlignment w:val="auto"/>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rPr>
        <w:t>项目编号：</w:t>
      </w:r>
      <w:r>
        <w:rPr>
          <w:rFonts w:hint="eastAsia" w:ascii="仿宋" w:hAnsi="仿宋" w:eastAsia="仿宋" w:cs="仿宋"/>
          <w:b/>
          <w:color w:val="auto"/>
          <w:kern w:val="0"/>
          <w:sz w:val="32"/>
          <w:szCs w:val="32"/>
          <w:highlight w:val="none"/>
          <w:lang w:eastAsia="zh-CN"/>
        </w:rPr>
        <w:t>1499002026ATP03519</w:t>
      </w:r>
    </w:p>
    <w:p w14:paraId="34E01CED">
      <w:pPr>
        <w:keepNext w:val="0"/>
        <w:keepLines w:val="0"/>
        <w:pageBreakBefore w:val="0"/>
        <w:widowControl/>
        <w:kinsoku/>
        <w:wordWrap/>
        <w:overflowPunct/>
        <w:topLinePunct w:val="0"/>
        <w:autoSpaceDE/>
        <w:autoSpaceDN/>
        <w:bidi w:val="0"/>
        <w:adjustRightInd/>
        <w:snapToGrid w:val="0"/>
        <w:spacing w:line="360" w:lineRule="auto"/>
        <w:ind w:firstLine="1606" w:firstLineChars="500"/>
        <w:jc w:val="left"/>
        <w:textAlignment w:val="auto"/>
        <w:rPr>
          <w:rFonts w:hint="eastAsia" w:ascii="仿宋" w:hAnsi="仿宋" w:eastAsia="仿宋" w:cs="仿宋"/>
          <w:b/>
          <w:color w:val="auto"/>
          <w:kern w:val="0"/>
          <w:sz w:val="32"/>
          <w:szCs w:val="32"/>
          <w:highlight w:val="none"/>
          <w:lang w:val="en-US"/>
        </w:rPr>
      </w:pPr>
      <w:r>
        <w:rPr>
          <w:rFonts w:hint="eastAsia" w:ascii="仿宋" w:hAnsi="仿宋" w:eastAsia="仿宋" w:cs="仿宋"/>
          <w:b/>
          <w:color w:val="auto"/>
          <w:kern w:val="0"/>
          <w:sz w:val="32"/>
          <w:szCs w:val="32"/>
          <w:highlight w:val="none"/>
          <w:lang w:val="en-US" w:eastAsia="zh-CN"/>
        </w:rPr>
        <w:t>采购</w:t>
      </w:r>
      <w:r>
        <w:rPr>
          <w:rFonts w:hint="eastAsia" w:ascii="仿宋" w:hAnsi="仿宋" w:eastAsia="仿宋" w:cs="仿宋"/>
          <w:b/>
          <w:color w:val="auto"/>
          <w:kern w:val="0"/>
          <w:sz w:val="32"/>
          <w:szCs w:val="32"/>
          <w:highlight w:val="none"/>
        </w:rPr>
        <w:t>编号：</w:t>
      </w:r>
      <w:r>
        <w:rPr>
          <w:rFonts w:hint="eastAsia" w:ascii="仿宋" w:hAnsi="仿宋" w:eastAsia="仿宋" w:cs="仿宋"/>
          <w:b/>
          <w:color w:val="auto"/>
          <w:kern w:val="0"/>
          <w:sz w:val="32"/>
          <w:szCs w:val="32"/>
          <w:highlight w:val="none"/>
          <w:lang w:val="en-US" w:eastAsia="zh-CN"/>
        </w:rPr>
        <w:t>SDZYCTP-26059</w:t>
      </w:r>
    </w:p>
    <w:p w14:paraId="515A102D">
      <w:pPr>
        <w:pStyle w:val="18"/>
        <w:spacing w:line="360" w:lineRule="auto"/>
        <w:ind w:firstLine="210"/>
        <w:rPr>
          <w:rFonts w:hint="eastAsia" w:ascii="仿宋" w:hAnsi="仿宋" w:eastAsia="仿宋" w:cs="仿宋"/>
          <w:color w:val="auto"/>
          <w:highlight w:val="none"/>
        </w:rPr>
      </w:pPr>
    </w:p>
    <w:p w14:paraId="02BECA1F">
      <w:pPr>
        <w:widowControl/>
        <w:snapToGrid w:val="0"/>
        <w:spacing w:line="360" w:lineRule="auto"/>
        <w:jc w:val="center"/>
        <w:rPr>
          <w:rFonts w:hint="eastAsia" w:ascii="仿宋" w:hAnsi="仿宋" w:eastAsia="仿宋" w:cs="仿宋"/>
          <w:color w:val="auto"/>
          <w:kern w:val="0"/>
          <w:sz w:val="24"/>
          <w:szCs w:val="24"/>
          <w:highlight w:val="none"/>
        </w:rPr>
      </w:pPr>
    </w:p>
    <w:p w14:paraId="76F39703">
      <w:pPr>
        <w:pStyle w:val="5"/>
        <w:spacing w:line="360" w:lineRule="auto"/>
        <w:ind w:left="0" w:leftChars="0" w:firstLine="0" w:firstLineChars="0"/>
        <w:rPr>
          <w:rFonts w:hint="eastAsia" w:ascii="仿宋" w:hAnsi="仿宋" w:eastAsia="仿宋" w:cs="仿宋"/>
          <w:color w:val="auto"/>
          <w:highlight w:val="none"/>
        </w:rPr>
      </w:pPr>
    </w:p>
    <w:p w14:paraId="2494326B">
      <w:pPr>
        <w:pStyle w:val="5"/>
        <w:spacing w:line="360" w:lineRule="auto"/>
        <w:ind w:left="0" w:leftChars="0" w:firstLine="0" w:firstLineChars="0"/>
        <w:rPr>
          <w:rFonts w:hint="eastAsia" w:ascii="仿宋" w:hAnsi="仿宋" w:eastAsia="仿宋" w:cs="仿宋"/>
          <w:color w:val="auto"/>
          <w:highlight w:val="none"/>
        </w:rPr>
      </w:pPr>
    </w:p>
    <w:p w14:paraId="532A07A1">
      <w:pPr>
        <w:pStyle w:val="5"/>
        <w:spacing w:line="360" w:lineRule="auto"/>
        <w:ind w:left="0" w:leftChars="0" w:firstLine="0" w:firstLineChars="0"/>
        <w:rPr>
          <w:rFonts w:hint="eastAsia" w:ascii="仿宋" w:hAnsi="仿宋" w:eastAsia="仿宋" w:cs="仿宋"/>
          <w:color w:val="auto"/>
          <w:highlight w:val="none"/>
        </w:rPr>
      </w:pPr>
    </w:p>
    <w:p w14:paraId="44EAB39E">
      <w:pPr>
        <w:spacing w:line="360" w:lineRule="auto"/>
        <w:jc w:val="center"/>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采购人：</w:t>
      </w:r>
      <w:r>
        <w:rPr>
          <w:rFonts w:hint="eastAsia" w:ascii="仿宋" w:hAnsi="仿宋" w:eastAsia="仿宋" w:cs="仿宋"/>
          <w:b/>
          <w:bCs/>
          <w:color w:val="auto"/>
          <w:sz w:val="32"/>
          <w:szCs w:val="32"/>
          <w:highlight w:val="none"/>
          <w:lang w:eastAsia="zh-CN"/>
        </w:rPr>
        <w:t>山西大学</w:t>
      </w:r>
    </w:p>
    <w:p w14:paraId="73AF8B39">
      <w:pP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采购代理机构：</w:t>
      </w:r>
      <w:r>
        <w:rPr>
          <w:rFonts w:hint="eastAsia" w:ascii="仿宋" w:hAnsi="仿宋" w:eastAsia="仿宋" w:cs="仿宋"/>
          <w:b/>
          <w:bCs/>
          <w:color w:val="auto"/>
          <w:sz w:val="32"/>
          <w:szCs w:val="32"/>
          <w:highlight w:val="none"/>
          <w:lang w:eastAsia="zh-CN"/>
        </w:rPr>
        <w:t>山西众易诚企业管理咨询有限公司</w:t>
      </w:r>
    </w:p>
    <w:p w14:paraId="4EED66F9">
      <w:pPr>
        <w:jc w:val="center"/>
        <w:rPr>
          <w:rFonts w:hint="eastAsia" w:ascii="仿宋" w:hAnsi="仿宋" w:eastAsia="仿宋" w:cs="仿宋"/>
          <w:b/>
          <w:color w:val="auto"/>
          <w:sz w:val="56"/>
          <w:szCs w:val="52"/>
          <w:highlight w:val="none"/>
        </w:rPr>
      </w:pPr>
      <w:r>
        <w:rPr>
          <w:rFonts w:hint="eastAsia" w:ascii="仿宋" w:hAnsi="仿宋" w:eastAsia="仿宋" w:cs="仿宋"/>
          <w:b/>
          <w:bCs/>
          <w:color w:val="auto"/>
          <w:sz w:val="32"/>
          <w:szCs w:val="32"/>
          <w:highlight w:val="none"/>
        </w:rPr>
        <w:t>日期：</w:t>
      </w:r>
      <w:r>
        <w:rPr>
          <w:rFonts w:hint="eastAsia" w:ascii="仿宋" w:hAnsi="仿宋" w:eastAsia="仿宋" w:cs="仿宋"/>
          <w:b/>
          <w:bCs/>
          <w:color w:val="auto"/>
          <w:sz w:val="32"/>
          <w:szCs w:val="32"/>
          <w:highlight w:val="none"/>
          <w:lang w:eastAsia="zh-CN"/>
        </w:rPr>
        <w:t>2026年</w:t>
      </w:r>
      <w:r>
        <w:rPr>
          <w:rFonts w:hint="eastAsia" w:ascii="仿宋" w:hAnsi="仿宋" w:eastAsia="仿宋" w:cs="仿宋"/>
          <w:b/>
          <w:bCs/>
          <w:color w:val="auto"/>
          <w:sz w:val="32"/>
          <w:szCs w:val="32"/>
          <w:highlight w:val="none"/>
          <w:lang w:val="en-US" w:eastAsia="zh-CN"/>
        </w:rPr>
        <w:t>10</w:t>
      </w:r>
      <w:r>
        <w:rPr>
          <w:rFonts w:hint="eastAsia" w:ascii="仿宋" w:hAnsi="仿宋" w:eastAsia="仿宋" w:cs="仿宋"/>
          <w:b/>
          <w:bCs/>
          <w:color w:val="auto"/>
          <w:sz w:val="32"/>
          <w:szCs w:val="32"/>
          <w:highlight w:val="none"/>
          <w:lang w:eastAsia="zh-CN"/>
        </w:rPr>
        <w:t>月</w:t>
      </w:r>
    </w:p>
    <w:p w14:paraId="3C6FF3EC">
      <w:pPr>
        <w:rPr>
          <w:rFonts w:hint="eastAsia" w:ascii="仿宋" w:hAnsi="仿宋" w:eastAsia="仿宋" w:cs="仿宋"/>
          <w:b/>
          <w:color w:val="auto"/>
          <w:sz w:val="36"/>
          <w:highlight w:val="none"/>
        </w:rPr>
      </w:pPr>
    </w:p>
    <w:p w14:paraId="3BF5263B">
      <w:pPr>
        <w:pStyle w:val="3"/>
        <w:rPr>
          <w:rFonts w:hint="eastAsia"/>
          <w:color w:val="auto"/>
          <w:highlight w:val="none"/>
        </w:rPr>
        <w:sectPr>
          <w:footerReference r:id="rId3" w:type="default"/>
          <w:pgSz w:w="11906" w:h="16838"/>
          <w:pgMar w:top="1440" w:right="1418" w:bottom="1440" w:left="1418" w:header="1134" w:footer="697" w:gutter="0"/>
          <w:cols w:space="720" w:num="1"/>
          <w:titlePg/>
          <w:docGrid w:type="lines" w:linePitch="312" w:charSpace="0"/>
        </w:sectPr>
      </w:pPr>
    </w:p>
    <w:p w14:paraId="6F24A9A0">
      <w:pPr>
        <w:keepNext w:val="0"/>
        <w:keepLines w:val="0"/>
        <w:pageBreakBefore w:val="0"/>
        <w:tabs>
          <w:tab w:val="left" w:pos="2070"/>
          <w:tab w:val="center" w:pos="4365"/>
        </w:tabs>
        <w:kinsoku/>
        <w:wordWrap/>
        <w:overflowPunct/>
        <w:topLinePunct w:val="0"/>
        <w:autoSpaceDE/>
        <w:autoSpaceDN/>
        <w:bidi w:val="0"/>
        <w:adjustRightInd/>
        <w:snapToGrid w:val="0"/>
        <w:spacing w:line="48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目录</w:t>
      </w:r>
    </w:p>
    <w:p w14:paraId="2A361E27">
      <w:pPr>
        <w:pStyle w:val="16"/>
        <w:bidi w:val="0"/>
        <w:rPr>
          <w:color w:val="auto"/>
          <w:highlight w:val="none"/>
        </w:rPr>
      </w:pPr>
      <w:r>
        <w:rPr>
          <w:rFonts w:hint="eastAsia" w:ascii="仿宋" w:hAnsi="仿宋" w:eastAsia="仿宋" w:cs="仿宋"/>
          <w:b/>
          <w:color w:val="auto"/>
          <w:sz w:val="24"/>
          <w:szCs w:val="24"/>
          <w:highlight w:val="none"/>
        </w:rPr>
        <w:fldChar w:fldCharType="begin"/>
      </w:r>
      <w:r>
        <w:rPr>
          <w:rFonts w:hint="eastAsia" w:ascii="仿宋" w:hAnsi="仿宋" w:eastAsia="仿宋" w:cs="仿宋"/>
          <w:b/>
          <w:color w:val="auto"/>
          <w:sz w:val="24"/>
          <w:szCs w:val="24"/>
          <w:highlight w:val="none"/>
        </w:rPr>
        <w:instrText xml:space="preserve">TOC \o "1-1" \h \u </w:instrText>
      </w:r>
      <w:r>
        <w:rPr>
          <w:rFonts w:hint="eastAsia" w:ascii="仿宋" w:hAnsi="仿宋" w:eastAsia="仿宋" w:cs="仿宋"/>
          <w:b/>
          <w:color w:val="auto"/>
          <w:sz w:val="24"/>
          <w:szCs w:val="24"/>
          <w:highlight w:val="none"/>
        </w:rPr>
        <w:fldChar w:fldCharType="separate"/>
      </w:r>
      <w:r>
        <w:rPr>
          <w:rFonts w:hint="eastAsia" w:ascii="仿宋" w:hAnsi="仿宋" w:eastAsia="仿宋" w:cs="仿宋"/>
          <w:color w:val="auto"/>
          <w:szCs w:val="24"/>
          <w:highlight w:val="none"/>
        </w:rPr>
        <w:fldChar w:fldCharType="begin"/>
      </w:r>
      <w:r>
        <w:rPr>
          <w:rFonts w:hint="eastAsia" w:ascii="仿宋" w:hAnsi="仿宋" w:eastAsia="仿宋" w:cs="仿宋"/>
          <w:color w:val="auto"/>
          <w:szCs w:val="24"/>
          <w:highlight w:val="none"/>
        </w:rPr>
        <w:instrText xml:space="preserve"> HYPERLINK \l _Toc30172 </w:instrText>
      </w:r>
      <w:r>
        <w:rPr>
          <w:rFonts w:hint="eastAsia" w:ascii="仿宋" w:hAnsi="仿宋" w:eastAsia="仿宋" w:cs="仿宋"/>
          <w:color w:val="auto"/>
          <w:szCs w:val="24"/>
          <w:highlight w:val="none"/>
        </w:rPr>
        <w:fldChar w:fldCharType="separate"/>
      </w:r>
      <w:r>
        <w:rPr>
          <w:rFonts w:hint="eastAsia"/>
          <w:color w:val="auto"/>
          <w:highlight w:val="none"/>
        </w:rPr>
        <w:t xml:space="preserve">第一部分 </w:t>
      </w:r>
      <w:r>
        <w:rPr>
          <w:rFonts w:hint="eastAsia"/>
          <w:color w:val="auto"/>
          <w:highlight w:val="none"/>
          <w:lang w:val="en-US" w:eastAsia="zh-CN"/>
        </w:rPr>
        <w:t xml:space="preserve"> </w:t>
      </w:r>
      <w:r>
        <w:rPr>
          <w:rFonts w:hint="eastAsia"/>
          <w:color w:val="auto"/>
          <w:highlight w:val="none"/>
        </w:rPr>
        <w:t>谈判公告</w:t>
      </w:r>
      <w:r>
        <w:rPr>
          <w:color w:val="auto"/>
          <w:highlight w:val="none"/>
        </w:rPr>
        <w:tab/>
      </w:r>
      <w:r>
        <w:rPr>
          <w:color w:val="auto"/>
          <w:highlight w:val="none"/>
        </w:rPr>
        <w:fldChar w:fldCharType="begin"/>
      </w:r>
      <w:r>
        <w:rPr>
          <w:color w:val="auto"/>
          <w:highlight w:val="none"/>
        </w:rPr>
        <w:instrText xml:space="preserve"> PAGEREF _Toc30172 \h </w:instrText>
      </w:r>
      <w:r>
        <w:rPr>
          <w:color w:val="auto"/>
          <w:highlight w:val="none"/>
        </w:rPr>
        <w:fldChar w:fldCharType="separate"/>
      </w:r>
      <w:r>
        <w:rPr>
          <w:color w:val="auto"/>
          <w:highlight w:val="none"/>
        </w:rPr>
        <w:t>1</w:t>
      </w:r>
      <w:r>
        <w:rPr>
          <w:color w:val="auto"/>
          <w:highlight w:val="none"/>
        </w:rPr>
        <w:fldChar w:fldCharType="end"/>
      </w:r>
      <w:r>
        <w:rPr>
          <w:rFonts w:hint="eastAsia" w:ascii="仿宋" w:hAnsi="仿宋" w:eastAsia="仿宋" w:cs="仿宋"/>
          <w:color w:val="auto"/>
          <w:szCs w:val="24"/>
          <w:highlight w:val="none"/>
        </w:rPr>
        <w:fldChar w:fldCharType="end"/>
      </w:r>
    </w:p>
    <w:p w14:paraId="304865AA">
      <w:pPr>
        <w:pStyle w:val="16"/>
        <w:rPr>
          <w:color w:val="auto"/>
          <w:highlight w:val="none"/>
        </w:rPr>
      </w:pPr>
      <w:r>
        <w:rPr>
          <w:rFonts w:hint="eastAsia" w:ascii="仿宋" w:hAnsi="仿宋" w:eastAsia="仿宋" w:cs="仿宋"/>
          <w:color w:val="auto"/>
          <w:szCs w:val="24"/>
          <w:highlight w:val="none"/>
        </w:rPr>
        <w:fldChar w:fldCharType="begin"/>
      </w:r>
      <w:r>
        <w:rPr>
          <w:rFonts w:hint="eastAsia" w:ascii="仿宋" w:hAnsi="仿宋" w:eastAsia="仿宋" w:cs="仿宋"/>
          <w:color w:val="auto"/>
          <w:szCs w:val="24"/>
          <w:highlight w:val="none"/>
        </w:rPr>
        <w:instrText xml:space="preserve"> HYPERLINK \l _Toc24287 </w:instrText>
      </w:r>
      <w:r>
        <w:rPr>
          <w:rFonts w:hint="eastAsia" w:ascii="仿宋" w:hAnsi="仿宋" w:eastAsia="仿宋" w:cs="仿宋"/>
          <w:color w:val="auto"/>
          <w:szCs w:val="24"/>
          <w:highlight w:val="none"/>
        </w:rPr>
        <w:fldChar w:fldCharType="separate"/>
      </w:r>
      <w:r>
        <w:rPr>
          <w:rFonts w:hint="eastAsia" w:ascii="仿宋" w:hAnsi="仿宋" w:eastAsia="仿宋" w:cs="仿宋"/>
          <w:color w:val="auto"/>
          <w:kern w:val="2"/>
          <w:szCs w:val="24"/>
          <w:highlight w:val="none"/>
          <w:lang w:val="en-US" w:eastAsia="zh-CN" w:bidi="ar-SA"/>
        </w:rPr>
        <w:t>第二部分  供应商须知前附表</w:t>
      </w:r>
      <w:r>
        <w:rPr>
          <w:color w:val="auto"/>
          <w:highlight w:val="none"/>
        </w:rPr>
        <w:tab/>
      </w:r>
      <w:r>
        <w:rPr>
          <w:color w:val="auto"/>
          <w:highlight w:val="none"/>
        </w:rPr>
        <w:fldChar w:fldCharType="begin"/>
      </w:r>
      <w:r>
        <w:rPr>
          <w:color w:val="auto"/>
          <w:highlight w:val="none"/>
        </w:rPr>
        <w:instrText xml:space="preserve"> PAGEREF _Toc24287 \h </w:instrText>
      </w:r>
      <w:r>
        <w:rPr>
          <w:color w:val="auto"/>
          <w:highlight w:val="none"/>
        </w:rPr>
        <w:fldChar w:fldCharType="separate"/>
      </w:r>
      <w:r>
        <w:rPr>
          <w:color w:val="auto"/>
          <w:highlight w:val="none"/>
        </w:rPr>
        <w:t>4</w:t>
      </w:r>
      <w:r>
        <w:rPr>
          <w:color w:val="auto"/>
          <w:highlight w:val="none"/>
        </w:rPr>
        <w:fldChar w:fldCharType="end"/>
      </w:r>
      <w:r>
        <w:rPr>
          <w:rFonts w:hint="eastAsia" w:ascii="仿宋" w:hAnsi="仿宋" w:eastAsia="仿宋" w:cs="仿宋"/>
          <w:color w:val="auto"/>
          <w:szCs w:val="24"/>
          <w:highlight w:val="none"/>
        </w:rPr>
        <w:fldChar w:fldCharType="end"/>
      </w:r>
    </w:p>
    <w:p w14:paraId="5DB0C7E7">
      <w:pPr>
        <w:pStyle w:val="16"/>
        <w:rPr>
          <w:color w:val="auto"/>
          <w:highlight w:val="none"/>
        </w:rPr>
      </w:pPr>
      <w:r>
        <w:rPr>
          <w:rFonts w:hint="eastAsia" w:ascii="仿宋" w:hAnsi="仿宋" w:eastAsia="仿宋" w:cs="仿宋"/>
          <w:color w:val="auto"/>
          <w:szCs w:val="24"/>
          <w:highlight w:val="none"/>
        </w:rPr>
        <w:fldChar w:fldCharType="begin"/>
      </w:r>
      <w:r>
        <w:rPr>
          <w:rFonts w:hint="eastAsia" w:ascii="仿宋" w:hAnsi="仿宋" w:eastAsia="仿宋" w:cs="仿宋"/>
          <w:color w:val="auto"/>
          <w:szCs w:val="24"/>
          <w:highlight w:val="none"/>
        </w:rPr>
        <w:instrText xml:space="preserve"> HYPERLINK \l _Toc12275 </w:instrText>
      </w:r>
      <w:r>
        <w:rPr>
          <w:rFonts w:hint="eastAsia" w:ascii="仿宋" w:hAnsi="仿宋" w:eastAsia="仿宋" w:cs="仿宋"/>
          <w:color w:val="auto"/>
          <w:szCs w:val="24"/>
          <w:highlight w:val="none"/>
        </w:rPr>
        <w:fldChar w:fldCharType="separate"/>
      </w:r>
      <w:r>
        <w:rPr>
          <w:rFonts w:hint="eastAsia" w:ascii="仿宋" w:hAnsi="仿宋" w:eastAsia="仿宋" w:cs="仿宋"/>
          <w:color w:val="auto"/>
          <w:kern w:val="2"/>
          <w:szCs w:val="24"/>
          <w:highlight w:val="none"/>
          <w:lang w:val="en-US" w:eastAsia="zh-CN" w:bidi="ar-SA"/>
        </w:rPr>
        <w:t>第三部分  供应商须知</w:t>
      </w:r>
      <w:r>
        <w:rPr>
          <w:color w:val="auto"/>
          <w:highlight w:val="none"/>
        </w:rPr>
        <w:tab/>
      </w:r>
      <w:r>
        <w:rPr>
          <w:color w:val="auto"/>
          <w:highlight w:val="none"/>
        </w:rPr>
        <w:fldChar w:fldCharType="begin"/>
      </w:r>
      <w:r>
        <w:rPr>
          <w:color w:val="auto"/>
          <w:highlight w:val="none"/>
        </w:rPr>
        <w:instrText xml:space="preserve"> PAGEREF _Toc12275 \h </w:instrText>
      </w:r>
      <w:r>
        <w:rPr>
          <w:color w:val="auto"/>
          <w:highlight w:val="none"/>
        </w:rPr>
        <w:fldChar w:fldCharType="separate"/>
      </w:r>
      <w:r>
        <w:rPr>
          <w:color w:val="auto"/>
          <w:highlight w:val="none"/>
        </w:rPr>
        <w:t>15</w:t>
      </w:r>
      <w:r>
        <w:rPr>
          <w:color w:val="auto"/>
          <w:highlight w:val="none"/>
        </w:rPr>
        <w:fldChar w:fldCharType="end"/>
      </w:r>
      <w:r>
        <w:rPr>
          <w:rFonts w:hint="eastAsia" w:ascii="仿宋" w:hAnsi="仿宋" w:eastAsia="仿宋" w:cs="仿宋"/>
          <w:color w:val="auto"/>
          <w:szCs w:val="24"/>
          <w:highlight w:val="none"/>
        </w:rPr>
        <w:fldChar w:fldCharType="end"/>
      </w:r>
    </w:p>
    <w:p w14:paraId="5FC2FEFD">
      <w:pPr>
        <w:pStyle w:val="16"/>
        <w:rPr>
          <w:color w:val="auto"/>
          <w:highlight w:val="none"/>
        </w:rPr>
      </w:pPr>
      <w:r>
        <w:rPr>
          <w:rFonts w:hint="eastAsia" w:ascii="仿宋" w:hAnsi="仿宋" w:eastAsia="仿宋" w:cs="仿宋"/>
          <w:color w:val="auto"/>
          <w:szCs w:val="24"/>
          <w:highlight w:val="none"/>
        </w:rPr>
        <w:fldChar w:fldCharType="begin"/>
      </w:r>
      <w:r>
        <w:rPr>
          <w:rFonts w:hint="eastAsia" w:ascii="仿宋" w:hAnsi="仿宋" w:eastAsia="仿宋" w:cs="仿宋"/>
          <w:color w:val="auto"/>
          <w:szCs w:val="24"/>
          <w:highlight w:val="none"/>
        </w:rPr>
        <w:instrText xml:space="preserve"> HYPERLINK \l _Toc18195 </w:instrText>
      </w:r>
      <w:r>
        <w:rPr>
          <w:rFonts w:hint="eastAsia" w:ascii="仿宋" w:hAnsi="仿宋" w:eastAsia="仿宋" w:cs="仿宋"/>
          <w:color w:val="auto"/>
          <w:szCs w:val="24"/>
          <w:highlight w:val="none"/>
        </w:rPr>
        <w:fldChar w:fldCharType="separate"/>
      </w:r>
      <w:r>
        <w:rPr>
          <w:rFonts w:hint="eastAsia" w:ascii="仿宋" w:hAnsi="仿宋" w:eastAsia="仿宋" w:cs="仿宋"/>
          <w:color w:val="auto"/>
          <w:kern w:val="2"/>
          <w:szCs w:val="24"/>
          <w:highlight w:val="none"/>
          <w:lang w:val="en-US" w:eastAsia="zh-CN" w:bidi="ar-SA"/>
        </w:rPr>
        <w:t>第四部分  评审标准和方法</w:t>
      </w:r>
      <w:r>
        <w:rPr>
          <w:color w:val="auto"/>
          <w:highlight w:val="none"/>
        </w:rPr>
        <w:tab/>
      </w:r>
      <w:r>
        <w:rPr>
          <w:color w:val="auto"/>
          <w:highlight w:val="none"/>
        </w:rPr>
        <w:fldChar w:fldCharType="begin"/>
      </w:r>
      <w:r>
        <w:rPr>
          <w:color w:val="auto"/>
          <w:highlight w:val="none"/>
        </w:rPr>
        <w:instrText xml:space="preserve"> PAGEREF _Toc18195 \h </w:instrText>
      </w:r>
      <w:r>
        <w:rPr>
          <w:color w:val="auto"/>
          <w:highlight w:val="none"/>
        </w:rPr>
        <w:fldChar w:fldCharType="separate"/>
      </w:r>
      <w:r>
        <w:rPr>
          <w:color w:val="auto"/>
          <w:highlight w:val="none"/>
        </w:rPr>
        <w:t>33</w:t>
      </w:r>
      <w:r>
        <w:rPr>
          <w:color w:val="auto"/>
          <w:highlight w:val="none"/>
        </w:rPr>
        <w:fldChar w:fldCharType="end"/>
      </w:r>
      <w:r>
        <w:rPr>
          <w:rFonts w:hint="eastAsia" w:ascii="仿宋" w:hAnsi="仿宋" w:eastAsia="仿宋" w:cs="仿宋"/>
          <w:color w:val="auto"/>
          <w:szCs w:val="24"/>
          <w:highlight w:val="none"/>
        </w:rPr>
        <w:fldChar w:fldCharType="end"/>
      </w:r>
    </w:p>
    <w:p w14:paraId="29B719FE">
      <w:pPr>
        <w:pStyle w:val="16"/>
        <w:rPr>
          <w:color w:val="auto"/>
          <w:highlight w:val="none"/>
        </w:rPr>
      </w:pPr>
      <w:r>
        <w:rPr>
          <w:rFonts w:hint="eastAsia" w:ascii="仿宋" w:hAnsi="仿宋" w:eastAsia="仿宋" w:cs="仿宋"/>
          <w:color w:val="auto"/>
          <w:szCs w:val="24"/>
          <w:highlight w:val="none"/>
        </w:rPr>
        <w:fldChar w:fldCharType="begin"/>
      </w:r>
      <w:r>
        <w:rPr>
          <w:rFonts w:hint="eastAsia" w:ascii="仿宋" w:hAnsi="仿宋" w:eastAsia="仿宋" w:cs="仿宋"/>
          <w:color w:val="auto"/>
          <w:szCs w:val="24"/>
          <w:highlight w:val="none"/>
        </w:rPr>
        <w:instrText xml:space="preserve"> HYPERLINK \l _Toc5774 </w:instrText>
      </w:r>
      <w:r>
        <w:rPr>
          <w:rFonts w:hint="eastAsia" w:ascii="仿宋" w:hAnsi="仿宋" w:eastAsia="仿宋" w:cs="仿宋"/>
          <w:color w:val="auto"/>
          <w:szCs w:val="24"/>
          <w:highlight w:val="none"/>
        </w:rPr>
        <w:fldChar w:fldCharType="separate"/>
      </w:r>
      <w:r>
        <w:rPr>
          <w:rFonts w:hint="eastAsia" w:ascii="仿宋" w:hAnsi="仿宋" w:eastAsia="仿宋" w:cs="仿宋"/>
          <w:color w:val="auto"/>
          <w:kern w:val="2"/>
          <w:szCs w:val="24"/>
          <w:highlight w:val="none"/>
          <w:lang w:val="en-US" w:eastAsia="zh-CN" w:bidi="ar-SA"/>
        </w:rPr>
        <w:t>第五部分  商务、技术要求</w:t>
      </w:r>
      <w:r>
        <w:rPr>
          <w:color w:val="auto"/>
          <w:highlight w:val="none"/>
        </w:rPr>
        <w:tab/>
      </w:r>
      <w:r>
        <w:rPr>
          <w:color w:val="auto"/>
          <w:highlight w:val="none"/>
        </w:rPr>
        <w:fldChar w:fldCharType="begin"/>
      </w:r>
      <w:r>
        <w:rPr>
          <w:color w:val="auto"/>
          <w:highlight w:val="none"/>
        </w:rPr>
        <w:instrText xml:space="preserve"> PAGEREF _Toc5774 \h </w:instrText>
      </w:r>
      <w:r>
        <w:rPr>
          <w:color w:val="auto"/>
          <w:highlight w:val="none"/>
        </w:rPr>
        <w:fldChar w:fldCharType="separate"/>
      </w:r>
      <w:r>
        <w:rPr>
          <w:color w:val="auto"/>
          <w:highlight w:val="none"/>
        </w:rPr>
        <w:t>42</w:t>
      </w:r>
      <w:r>
        <w:rPr>
          <w:color w:val="auto"/>
          <w:highlight w:val="none"/>
        </w:rPr>
        <w:fldChar w:fldCharType="end"/>
      </w:r>
      <w:r>
        <w:rPr>
          <w:rFonts w:hint="eastAsia" w:ascii="仿宋" w:hAnsi="仿宋" w:eastAsia="仿宋" w:cs="仿宋"/>
          <w:color w:val="auto"/>
          <w:szCs w:val="24"/>
          <w:highlight w:val="none"/>
        </w:rPr>
        <w:fldChar w:fldCharType="end"/>
      </w:r>
    </w:p>
    <w:p w14:paraId="258D0522">
      <w:pPr>
        <w:pStyle w:val="16"/>
        <w:rPr>
          <w:color w:val="auto"/>
          <w:highlight w:val="none"/>
        </w:rPr>
      </w:pPr>
      <w:r>
        <w:rPr>
          <w:rFonts w:hint="eastAsia" w:ascii="仿宋" w:hAnsi="仿宋" w:eastAsia="仿宋" w:cs="仿宋"/>
          <w:color w:val="auto"/>
          <w:szCs w:val="24"/>
          <w:highlight w:val="none"/>
        </w:rPr>
        <w:fldChar w:fldCharType="begin"/>
      </w:r>
      <w:r>
        <w:rPr>
          <w:rFonts w:hint="eastAsia" w:ascii="仿宋" w:hAnsi="仿宋" w:eastAsia="仿宋" w:cs="仿宋"/>
          <w:color w:val="auto"/>
          <w:szCs w:val="24"/>
          <w:highlight w:val="none"/>
        </w:rPr>
        <w:instrText xml:space="preserve"> HYPERLINK \l _Toc3514 </w:instrText>
      </w:r>
      <w:r>
        <w:rPr>
          <w:rFonts w:hint="eastAsia" w:ascii="仿宋" w:hAnsi="仿宋" w:eastAsia="仿宋" w:cs="仿宋"/>
          <w:color w:val="auto"/>
          <w:szCs w:val="24"/>
          <w:highlight w:val="none"/>
        </w:rPr>
        <w:fldChar w:fldCharType="separate"/>
      </w:r>
      <w:r>
        <w:rPr>
          <w:rFonts w:hint="eastAsia"/>
          <w:color w:val="auto"/>
          <w:highlight w:val="none"/>
          <w:lang w:val="en-US" w:eastAsia="zh-CN"/>
        </w:rPr>
        <w:t>第六部分  政府采购合同</w:t>
      </w:r>
      <w:r>
        <w:rPr>
          <w:color w:val="auto"/>
          <w:highlight w:val="none"/>
        </w:rPr>
        <w:tab/>
      </w:r>
      <w:r>
        <w:rPr>
          <w:color w:val="auto"/>
          <w:highlight w:val="none"/>
        </w:rPr>
        <w:fldChar w:fldCharType="begin"/>
      </w:r>
      <w:r>
        <w:rPr>
          <w:color w:val="auto"/>
          <w:highlight w:val="none"/>
        </w:rPr>
        <w:instrText xml:space="preserve"> PAGEREF _Toc3514 \h </w:instrText>
      </w:r>
      <w:r>
        <w:rPr>
          <w:color w:val="auto"/>
          <w:highlight w:val="none"/>
        </w:rPr>
        <w:fldChar w:fldCharType="separate"/>
      </w:r>
      <w:r>
        <w:rPr>
          <w:color w:val="auto"/>
          <w:highlight w:val="none"/>
        </w:rPr>
        <w:t>46</w:t>
      </w:r>
      <w:r>
        <w:rPr>
          <w:color w:val="auto"/>
          <w:highlight w:val="none"/>
        </w:rPr>
        <w:fldChar w:fldCharType="end"/>
      </w:r>
      <w:r>
        <w:rPr>
          <w:rFonts w:hint="eastAsia" w:ascii="仿宋" w:hAnsi="仿宋" w:eastAsia="仿宋" w:cs="仿宋"/>
          <w:color w:val="auto"/>
          <w:szCs w:val="24"/>
          <w:highlight w:val="none"/>
        </w:rPr>
        <w:fldChar w:fldCharType="end"/>
      </w:r>
    </w:p>
    <w:p w14:paraId="56B3D37F">
      <w:pPr>
        <w:pStyle w:val="16"/>
        <w:rPr>
          <w:color w:val="auto"/>
          <w:highlight w:val="none"/>
        </w:rPr>
      </w:pPr>
      <w:r>
        <w:rPr>
          <w:rFonts w:hint="eastAsia" w:ascii="仿宋" w:hAnsi="仿宋" w:eastAsia="仿宋" w:cs="仿宋"/>
          <w:color w:val="auto"/>
          <w:szCs w:val="24"/>
          <w:highlight w:val="none"/>
        </w:rPr>
        <w:fldChar w:fldCharType="begin"/>
      </w:r>
      <w:r>
        <w:rPr>
          <w:rFonts w:hint="eastAsia" w:ascii="仿宋" w:hAnsi="仿宋" w:eastAsia="仿宋" w:cs="仿宋"/>
          <w:color w:val="auto"/>
          <w:szCs w:val="24"/>
          <w:highlight w:val="none"/>
        </w:rPr>
        <w:instrText xml:space="preserve"> HYPERLINK \l _Toc19147 </w:instrText>
      </w:r>
      <w:r>
        <w:rPr>
          <w:rFonts w:hint="eastAsia" w:ascii="仿宋" w:hAnsi="仿宋" w:eastAsia="仿宋" w:cs="仿宋"/>
          <w:color w:val="auto"/>
          <w:szCs w:val="24"/>
          <w:highlight w:val="none"/>
        </w:rPr>
        <w:fldChar w:fldCharType="separate"/>
      </w:r>
      <w:r>
        <w:rPr>
          <w:rFonts w:hint="eastAsia" w:ascii="仿宋" w:hAnsi="仿宋" w:eastAsia="仿宋" w:cs="仿宋"/>
          <w:color w:val="auto"/>
          <w:kern w:val="2"/>
          <w:szCs w:val="24"/>
          <w:highlight w:val="none"/>
          <w:lang w:val="en-US" w:eastAsia="zh-CN" w:bidi="ar-SA"/>
        </w:rPr>
        <w:t>第七部分  响应文件格式</w:t>
      </w:r>
      <w:r>
        <w:rPr>
          <w:color w:val="auto"/>
          <w:highlight w:val="none"/>
        </w:rPr>
        <w:tab/>
      </w:r>
      <w:r>
        <w:rPr>
          <w:color w:val="auto"/>
          <w:highlight w:val="none"/>
        </w:rPr>
        <w:fldChar w:fldCharType="begin"/>
      </w:r>
      <w:r>
        <w:rPr>
          <w:color w:val="auto"/>
          <w:highlight w:val="none"/>
        </w:rPr>
        <w:instrText xml:space="preserve"> PAGEREF _Toc19147 \h </w:instrText>
      </w:r>
      <w:r>
        <w:rPr>
          <w:color w:val="auto"/>
          <w:highlight w:val="none"/>
        </w:rPr>
        <w:fldChar w:fldCharType="separate"/>
      </w:r>
      <w:r>
        <w:rPr>
          <w:color w:val="auto"/>
          <w:highlight w:val="none"/>
        </w:rPr>
        <w:t>56</w:t>
      </w:r>
      <w:r>
        <w:rPr>
          <w:color w:val="auto"/>
          <w:highlight w:val="none"/>
        </w:rPr>
        <w:fldChar w:fldCharType="end"/>
      </w:r>
      <w:r>
        <w:rPr>
          <w:rFonts w:hint="eastAsia" w:ascii="仿宋" w:hAnsi="仿宋" w:eastAsia="仿宋" w:cs="仿宋"/>
          <w:color w:val="auto"/>
          <w:szCs w:val="24"/>
          <w:highlight w:val="none"/>
        </w:rPr>
        <w:fldChar w:fldCharType="end"/>
      </w:r>
    </w:p>
    <w:p w14:paraId="294859E3">
      <w:pPr>
        <w:keepNext w:val="0"/>
        <w:keepLines w:val="0"/>
        <w:pageBreakBefore w:val="0"/>
        <w:widowControl/>
        <w:tabs>
          <w:tab w:val="left" w:pos="2070"/>
          <w:tab w:val="center" w:pos="4365"/>
        </w:tabs>
        <w:kinsoku/>
        <w:wordWrap/>
        <w:overflowPunct/>
        <w:topLinePunct w:val="0"/>
        <w:autoSpaceDE/>
        <w:autoSpaceDN/>
        <w:bidi w:val="0"/>
        <w:adjustRightInd/>
        <w:snapToGrid w:val="0"/>
        <w:spacing w:line="480" w:lineRule="auto"/>
        <w:textAlignment w:val="auto"/>
        <w:rPr>
          <w:rFonts w:hint="eastAsia" w:ascii="仿宋" w:hAnsi="仿宋" w:eastAsia="仿宋" w:cs="仿宋"/>
          <w:b/>
          <w:color w:val="auto"/>
          <w:sz w:val="32"/>
          <w:szCs w:val="40"/>
          <w:highlight w:val="none"/>
        </w:rPr>
      </w:pPr>
      <w:r>
        <w:rPr>
          <w:rFonts w:hint="eastAsia" w:ascii="仿宋" w:hAnsi="仿宋" w:eastAsia="仿宋" w:cs="仿宋"/>
          <w:color w:val="auto"/>
          <w:szCs w:val="24"/>
          <w:highlight w:val="none"/>
        </w:rPr>
        <w:fldChar w:fldCharType="end"/>
      </w:r>
    </w:p>
    <w:p w14:paraId="11D341C7">
      <w:pPr>
        <w:widowControl/>
        <w:tabs>
          <w:tab w:val="left" w:pos="2070"/>
          <w:tab w:val="center" w:pos="4365"/>
        </w:tabs>
        <w:snapToGrid w:val="0"/>
        <w:spacing w:line="600" w:lineRule="exact"/>
        <w:rPr>
          <w:rFonts w:hint="eastAsia" w:ascii="仿宋" w:hAnsi="仿宋" w:eastAsia="仿宋" w:cs="仿宋"/>
          <w:b/>
          <w:color w:val="auto"/>
          <w:highlight w:val="none"/>
        </w:rPr>
      </w:pPr>
    </w:p>
    <w:p w14:paraId="0FCBA334">
      <w:pPr>
        <w:widowControl/>
        <w:tabs>
          <w:tab w:val="left" w:pos="2070"/>
          <w:tab w:val="center" w:pos="4365"/>
        </w:tabs>
        <w:snapToGrid w:val="0"/>
        <w:spacing w:line="600" w:lineRule="exact"/>
        <w:rPr>
          <w:rFonts w:hint="eastAsia" w:ascii="仿宋" w:hAnsi="仿宋" w:eastAsia="仿宋" w:cs="仿宋"/>
          <w:b/>
          <w:color w:val="auto"/>
          <w:highlight w:val="none"/>
        </w:rPr>
      </w:pPr>
    </w:p>
    <w:p w14:paraId="37EC0569">
      <w:pPr>
        <w:pStyle w:val="2"/>
        <w:bidi w:val="0"/>
        <w:rPr>
          <w:rFonts w:hint="eastAsia"/>
          <w:color w:val="auto"/>
          <w:highlight w:val="none"/>
        </w:rPr>
        <w:sectPr>
          <w:headerReference r:id="rId5" w:type="first"/>
          <w:footerReference r:id="rId7" w:type="first"/>
          <w:headerReference r:id="rId4" w:type="default"/>
          <w:footerReference r:id="rId6" w:type="default"/>
          <w:pgSz w:w="11906" w:h="16838"/>
          <w:pgMar w:top="1440" w:right="1418" w:bottom="1440" w:left="1418" w:header="907" w:footer="850" w:gutter="0"/>
          <w:pgNumType w:fmt="decimal" w:start="1"/>
          <w:cols w:space="720" w:num="1"/>
          <w:titlePg/>
          <w:docGrid w:type="lines" w:linePitch="312" w:charSpace="0"/>
        </w:sectPr>
      </w:pPr>
      <w:bookmarkStart w:id="0" w:name="_Toc30172"/>
    </w:p>
    <w:p w14:paraId="2124CC64">
      <w:pPr>
        <w:pStyle w:val="2"/>
        <w:bidi w:val="0"/>
        <w:rPr>
          <w:rFonts w:hint="eastAsia"/>
          <w:color w:val="auto"/>
          <w:highlight w:val="none"/>
        </w:rPr>
      </w:pPr>
      <w:r>
        <w:rPr>
          <w:rFonts w:hint="eastAsia"/>
          <w:color w:val="auto"/>
          <w:highlight w:val="none"/>
        </w:rPr>
        <w:t xml:space="preserve">第一部分 </w:t>
      </w:r>
      <w:r>
        <w:rPr>
          <w:rFonts w:hint="eastAsia"/>
          <w:color w:val="auto"/>
          <w:highlight w:val="none"/>
          <w:lang w:val="en-US" w:eastAsia="zh-CN"/>
        </w:rPr>
        <w:t xml:space="preserve"> </w:t>
      </w:r>
      <w:r>
        <w:rPr>
          <w:rFonts w:hint="eastAsia"/>
          <w:color w:val="auto"/>
          <w:highlight w:val="none"/>
        </w:rPr>
        <w:t>谈判公告</w:t>
      </w:r>
      <w:bookmarkEnd w:id="0"/>
    </w:p>
    <w:p w14:paraId="45B0952A">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bookmarkStart w:id="1" w:name="_Toc28359089"/>
      <w:bookmarkStart w:id="2" w:name="_Toc35393629"/>
      <w:bookmarkStart w:id="3" w:name="_Toc35393798"/>
      <w:bookmarkStart w:id="4" w:name="_Toc28359012"/>
      <w:r>
        <w:rPr>
          <w:rFonts w:hint="eastAsia" w:ascii="仿宋" w:hAnsi="仿宋" w:eastAsia="仿宋" w:cs="仿宋"/>
          <w:color w:val="auto"/>
          <w:sz w:val="24"/>
          <w:szCs w:val="24"/>
          <w:highlight w:val="none"/>
        </w:rPr>
        <w:t>项目概况</w:t>
      </w:r>
    </w:p>
    <w:p w14:paraId="77535B3F">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山西大学激光直写微纳结构制备系统等设备采购项目</w:t>
      </w:r>
      <w:r>
        <w:rPr>
          <w:rFonts w:hint="eastAsia" w:ascii="仿宋" w:hAnsi="仿宋" w:eastAsia="仿宋" w:cs="仿宋"/>
          <w:color w:val="auto"/>
          <w:sz w:val="24"/>
          <w:szCs w:val="24"/>
          <w:highlight w:val="none"/>
        </w:rPr>
        <w:t>的潜在供应商应在政采云平台线上获取获取采购文件，并于</w:t>
      </w:r>
      <w:r>
        <w:rPr>
          <w:rFonts w:hint="eastAsia" w:ascii="仿宋" w:hAnsi="仿宋" w:eastAsia="仿宋" w:cs="仿宋"/>
          <w:color w:val="auto"/>
          <w:sz w:val="24"/>
          <w:szCs w:val="24"/>
          <w:highlight w:val="none"/>
          <w:lang w:eastAsia="zh-CN"/>
        </w:rPr>
        <w:t>2026年11月03日09:30</w:t>
      </w:r>
      <w:r>
        <w:rPr>
          <w:rFonts w:hint="eastAsia" w:ascii="仿宋" w:hAnsi="仿宋" w:eastAsia="仿宋" w:cs="仿宋"/>
          <w:color w:val="auto"/>
          <w:sz w:val="24"/>
          <w:szCs w:val="24"/>
          <w:highlight w:val="none"/>
        </w:rPr>
        <w:t>（北京时间）前提交响应文件。</w:t>
      </w:r>
    </w:p>
    <w:p w14:paraId="18A660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一、项目基本情况</w:t>
      </w:r>
      <w:bookmarkEnd w:id="1"/>
      <w:bookmarkEnd w:id="2"/>
      <w:bookmarkEnd w:id="3"/>
      <w:bookmarkEnd w:id="4"/>
    </w:p>
    <w:p w14:paraId="113425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1499002026ATP03519</w:t>
      </w:r>
    </w:p>
    <w:p w14:paraId="7C89B0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山西大学激光直写微纳结构制备系统等设备采购项目</w:t>
      </w:r>
    </w:p>
    <w:p w14:paraId="78D614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采购方式：竞争性谈判</w:t>
      </w:r>
    </w:p>
    <w:p w14:paraId="6AA68B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预算金额（元）：</w:t>
      </w:r>
      <w:r>
        <w:rPr>
          <w:rFonts w:hint="eastAsia" w:ascii="仿宋" w:hAnsi="仿宋" w:eastAsia="仿宋" w:cs="仿宋"/>
          <w:color w:val="auto"/>
          <w:sz w:val="24"/>
          <w:szCs w:val="24"/>
          <w:highlight w:val="none"/>
          <w:lang w:val="en-US" w:eastAsia="zh-CN"/>
        </w:rPr>
        <w:t>3440000</w:t>
      </w:r>
    </w:p>
    <w:p w14:paraId="6EDEAC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最高限价（元）：</w:t>
      </w:r>
      <w:r>
        <w:rPr>
          <w:rFonts w:hint="eastAsia" w:ascii="仿宋" w:hAnsi="仿宋" w:eastAsia="仿宋" w:cs="仿宋"/>
          <w:color w:val="auto"/>
          <w:sz w:val="24"/>
          <w:szCs w:val="24"/>
          <w:highlight w:val="none"/>
          <w:lang w:val="en-US" w:eastAsia="zh-CN"/>
        </w:rPr>
        <w:t>3440000</w:t>
      </w:r>
    </w:p>
    <w:p w14:paraId="359751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采购需求：</w:t>
      </w:r>
    </w:p>
    <w:p w14:paraId="18B900B6">
      <w:pPr>
        <w:keepNext w:val="0"/>
        <w:keepLines w:val="0"/>
        <w:pageBreakBefore w:val="0"/>
        <w:widowControl w:val="0"/>
        <w:shd w:val="clear" w:fill="E7E6E6" w:themeFill="background2"/>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标项名称：山西大学激光直写微纳结构制备系统等设备采购项目</w:t>
      </w:r>
    </w:p>
    <w:p w14:paraId="649712D7">
      <w:pPr>
        <w:keepNext w:val="0"/>
        <w:keepLines w:val="0"/>
        <w:pageBreakBefore w:val="0"/>
        <w:widowControl w:val="0"/>
        <w:shd w:val="clear" w:fill="E7E6E6" w:themeFill="background2"/>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数量：</w:t>
      </w:r>
    </w:p>
    <w:p w14:paraId="09B719CE">
      <w:pPr>
        <w:keepNext w:val="0"/>
        <w:keepLines w:val="0"/>
        <w:pageBreakBefore w:val="0"/>
        <w:widowControl w:val="0"/>
        <w:shd w:val="clear" w:fill="E7E6E6" w:themeFill="background2"/>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预算金额（元）：3440000</w:t>
      </w:r>
    </w:p>
    <w:p w14:paraId="39DAFD0A">
      <w:pPr>
        <w:keepNext w:val="0"/>
        <w:keepLines w:val="0"/>
        <w:pageBreakBefore w:val="0"/>
        <w:widowControl w:val="0"/>
        <w:shd w:val="clear" w:fill="E7E6E6" w:themeFill="background2"/>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单位：</w:t>
      </w:r>
    </w:p>
    <w:p w14:paraId="00564EEE">
      <w:pPr>
        <w:keepNext w:val="0"/>
        <w:keepLines w:val="0"/>
        <w:pageBreakBefore w:val="0"/>
        <w:widowControl w:val="0"/>
        <w:shd w:val="clear" w:fill="E7E6E6" w:themeFill="background2"/>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简要规格描述：本项目拟购置激光直写微纳结构制备系统1台（进口产品）、超低震动低温恒温系统1套、双通道超稳激光锁频系统1台，具体内容及技术参数详见竞争性谈判文件。</w:t>
      </w:r>
    </w:p>
    <w:p w14:paraId="3D00FD9B">
      <w:pPr>
        <w:keepNext w:val="0"/>
        <w:keepLines w:val="0"/>
        <w:pageBreakBefore w:val="0"/>
        <w:widowControl w:val="0"/>
        <w:shd w:val="clear" w:fill="E7E6E6" w:themeFill="background2"/>
        <w:kinsoku/>
        <w:wordWrap/>
        <w:overflowPunct/>
        <w:topLinePunct w:val="0"/>
        <w:autoSpaceDE/>
        <w:autoSpaceDN/>
        <w:bidi w:val="0"/>
        <w:adjustRightInd/>
        <w:snapToGrid/>
        <w:spacing w:line="360" w:lineRule="auto"/>
        <w:ind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备注：1.核心产品为激光直写微纳结构制备系统；2.激光直写微纳结构制备系统允许进口产品投标（国家相关部门明确禁止的除外）。</w:t>
      </w:r>
    </w:p>
    <w:p w14:paraId="575DD725">
      <w:pPr>
        <w:keepNext w:val="0"/>
        <w:keepLines w:val="0"/>
        <w:pageBreakBefore w:val="0"/>
        <w:widowControl w:val="0"/>
        <w:shd w:val="clear" w:fill="E7E6E6" w:themeFill="background2"/>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合同履约期限：</w:t>
      </w:r>
      <w:r>
        <w:rPr>
          <w:rFonts w:hint="eastAsia" w:ascii="仿宋" w:hAnsi="仿宋" w:eastAsia="仿宋" w:cs="仿宋"/>
          <w:color w:val="auto"/>
          <w:sz w:val="24"/>
          <w:szCs w:val="24"/>
          <w:highlight w:val="none"/>
          <w:lang w:val="en-US" w:eastAsia="zh-CN"/>
        </w:rPr>
        <w:t>标项1，激光直写微纳结构制备系统、双通道超稳激光锁频系统为合同签订之日起360日内；超低震动低温恒温系统为合同签订之日起180日内。</w:t>
      </w:r>
    </w:p>
    <w:p w14:paraId="4D5A3C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本项目（否）接受联合体投标。</w:t>
      </w:r>
    </w:p>
    <w:p w14:paraId="2AB073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bookmarkStart w:id="5" w:name="_Toc35393799"/>
      <w:bookmarkStart w:id="6" w:name="_Toc28359013"/>
      <w:bookmarkStart w:id="7" w:name="_Toc28359090"/>
      <w:bookmarkStart w:id="8" w:name="_Toc35393630"/>
      <w:r>
        <w:rPr>
          <w:rFonts w:hint="eastAsia" w:ascii="仿宋" w:hAnsi="仿宋" w:eastAsia="仿宋" w:cs="仿宋"/>
          <w:b/>
          <w:bCs/>
          <w:color w:val="auto"/>
          <w:sz w:val="24"/>
          <w:szCs w:val="24"/>
          <w:highlight w:val="none"/>
        </w:rPr>
        <w:t>二、申请人的资格要求：</w:t>
      </w:r>
      <w:bookmarkEnd w:id="5"/>
      <w:bookmarkEnd w:id="6"/>
      <w:bookmarkEnd w:id="7"/>
      <w:bookmarkEnd w:id="8"/>
    </w:p>
    <w:p w14:paraId="068DF4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1.满足《中华人民共和国政府采购法》第二十二条规定；</w:t>
      </w:r>
    </w:p>
    <w:p w14:paraId="6CEB10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bookmarkStart w:id="9" w:name="_Toc28359014"/>
      <w:bookmarkStart w:id="10" w:name="_Toc28359091"/>
      <w:r>
        <w:rPr>
          <w:rFonts w:hint="eastAsia" w:ascii="仿宋" w:hAnsi="仿宋" w:eastAsia="仿宋" w:cs="仿宋"/>
          <w:color w:val="auto"/>
          <w:sz w:val="24"/>
          <w:szCs w:val="24"/>
          <w:highlight w:val="none"/>
        </w:rPr>
        <w:t>2.落实政府采购政策需满足的资格要求：</w:t>
      </w:r>
      <w:r>
        <w:rPr>
          <w:rFonts w:hint="eastAsia" w:ascii="仿宋" w:hAnsi="仿宋" w:eastAsia="仿宋" w:cs="仿宋"/>
          <w:color w:val="auto"/>
          <w:sz w:val="24"/>
          <w:szCs w:val="24"/>
          <w:highlight w:val="none"/>
          <w:lang w:val="en-US" w:eastAsia="zh-CN"/>
        </w:rPr>
        <w:t>无</w:t>
      </w:r>
    </w:p>
    <w:p w14:paraId="21D9CF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3.本项目的特定资格要求：</w:t>
      </w:r>
      <w:bookmarkStart w:id="11" w:name="_Toc35393631"/>
      <w:bookmarkStart w:id="12" w:name="_Toc35393800"/>
      <w:r>
        <w:rPr>
          <w:rFonts w:hint="eastAsia" w:ascii="仿宋" w:hAnsi="仿宋" w:eastAsia="仿宋" w:cs="仿宋"/>
          <w:color w:val="auto"/>
          <w:sz w:val="24"/>
          <w:szCs w:val="24"/>
          <w:highlight w:val="none"/>
          <w:lang w:val="en-US" w:eastAsia="zh-CN"/>
        </w:rPr>
        <w:t>无</w:t>
      </w:r>
    </w:p>
    <w:p w14:paraId="37B213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三、获取采购文件</w:t>
      </w:r>
      <w:bookmarkEnd w:id="9"/>
      <w:bookmarkEnd w:id="10"/>
      <w:bookmarkEnd w:id="11"/>
      <w:bookmarkEnd w:id="12"/>
    </w:p>
    <w:p w14:paraId="5AECB9F4">
      <w:pPr>
        <w:keepNext w:val="0"/>
        <w:keepLines w:val="0"/>
        <w:pageBreakBefore w:val="0"/>
        <w:widowControl w:val="0"/>
        <w:kinsoku/>
        <w:wordWrap/>
        <w:overflowPunct/>
        <w:topLinePunct w:val="0"/>
        <w:autoSpaceDE/>
        <w:autoSpaceDN/>
        <w:bidi w:val="0"/>
        <w:adjustRightInd/>
        <w:snapToGrid/>
        <w:spacing w:line="360" w:lineRule="auto"/>
        <w:ind w:firstLine="54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时间：</w:t>
      </w:r>
      <w:r>
        <w:rPr>
          <w:rFonts w:hint="eastAsia" w:ascii="仿宋" w:hAnsi="仿宋" w:eastAsia="仿宋" w:cs="仿宋"/>
          <w:color w:val="auto"/>
          <w:sz w:val="24"/>
          <w:szCs w:val="24"/>
          <w:highlight w:val="none"/>
          <w:lang w:eastAsia="zh-CN"/>
        </w:rPr>
        <w:t>2026年10月29日至2026年11月02日每天上午00:00至12:00，下午12:00至23:59（北京时间，法定节假日除外）</w:t>
      </w:r>
    </w:p>
    <w:p w14:paraId="045DE5B5">
      <w:pPr>
        <w:keepNext w:val="0"/>
        <w:keepLines w:val="0"/>
        <w:pageBreakBefore w:val="0"/>
        <w:widowControl w:val="0"/>
        <w:kinsoku/>
        <w:wordWrap/>
        <w:overflowPunct/>
        <w:topLinePunct w:val="0"/>
        <w:autoSpaceDE/>
        <w:autoSpaceDN/>
        <w:bidi w:val="0"/>
        <w:adjustRightInd/>
        <w:snapToGrid/>
        <w:spacing w:line="360" w:lineRule="auto"/>
        <w:ind w:firstLine="540" w:firstLineChars="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地点：政采云平台线上获取</w:t>
      </w:r>
    </w:p>
    <w:p w14:paraId="090FAA9D">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获取方式：在线获取</w:t>
      </w:r>
    </w:p>
    <w:p w14:paraId="5E55DB2A">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rFonts w:hint="eastAsia" w:ascii="仿宋" w:hAnsi="仿宋" w:eastAsia="仿宋" w:cs="仿宋"/>
          <w:color w:val="auto"/>
          <w:sz w:val="24"/>
          <w:szCs w:val="24"/>
          <w:highlight w:val="none"/>
        </w:rPr>
      </w:pPr>
      <w:bookmarkStart w:id="13" w:name="_Toc28359092"/>
      <w:bookmarkStart w:id="14" w:name="_Toc35393801"/>
      <w:bookmarkStart w:id="15" w:name="_Toc35393632"/>
      <w:bookmarkStart w:id="16" w:name="_Toc28359015"/>
      <w:r>
        <w:rPr>
          <w:rFonts w:hint="eastAsia" w:ascii="仿宋" w:hAnsi="仿宋" w:eastAsia="仿宋" w:cs="仿宋"/>
          <w:color w:val="auto"/>
          <w:sz w:val="24"/>
          <w:szCs w:val="24"/>
          <w:highlight w:val="none"/>
        </w:rPr>
        <w:t>售价（元）：0</w:t>
      </w:r>
    </w:p>
    <w:bookmarkEnd w:id="13"/>
    <w:bookmarkEnd w:id="14"/>
    <w:bookmarkEnd w:id="15"/>
    <w:bookmarkEnd w:id="16"/>
    <w:p w14:paraId="0DF903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bookmarkStart w:id="17" w:name="_Toc35393802"/>
      <w:bookmarkStart w:id="18" w:name="_Toc28359093"/>
      <w:bookmarkStart w:id="19" w:name="_Toc35393633"/>
      <w:bookmarkStart w:id="20" w:name="_Toc28359016"/>
      <w:r>
        <w:rPr>
          <w:rFonts w:hint="eastAsia" w:ascii="仿宋" w:hAnsi="仿宋" w:eastAsia="仿宋" w:cs="仿宋"/>
          <w:b/>
          <w:bCs/>
          <w:color w:val="auto"/>
          <w:sz w:val="24"/>
          <w:szCs w:val="24"/>
          <w:highlight w:val="none"/>
        </w:rPr>
        <w:t>四、响应文件提交</w:t>
      </w:r>
    </w:p>
    <w:p w14:paraId="621441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截止时间：</w:t>
      </w:r>
      <w:r>
        <w:rPr>
          <w:rFonts w:hint="eastAsia" w:ascii="仿宋" w:hAnsi="仿宋" w:eastAsia="仿宋" w:cs="仿宋"/>
          <w:color w:val="auto"/>
          <w:sz w:val="24"/>
          <w:szCs w:val="24"/>
          <w:highlight w:val="none"/>
          <w:lang w:eastAsia="zh-CN"/>
        </w:rPr>
        <w:t>2026年11月03日09:30</w:t>
      </w:r>
      <w:r>
        <w:rPr>
          <w:rFonts w:hint="eastAsia" w:ascii="仿宋" w:hAnsi="仿宋" w:eastAsia="仿宋" w:cs="仿宋"/>
          <w:b w:val="0"/>
          <w:bCs w:val="0"/>
          <w:color w:val="auto"/>
          <w:sz w:val="24"/>
          <w:szCs w:val="24"/>
          <w:highlight w:val="none"/>
        </w:rPr>
        <w:t>（北京时间）</w:t>
      </w:r>
    </w:p>
    <w:p w14:paraId="28CDA4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地点：请登录政采云投标客户端投标</w:t>
      </w:r>
    </w:p>
    <w:p w14:paraId="64B550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五、开启</w:t>
      </w:r>
      <w:bookmarkEnd w:id="17"/>
      <w:bookmarkEnd w:id="18"/>
      <w:bookmarkEnd w:id="19"/>
      <w:bookmarkEnd w:id="20"/>
    </w:p>
    <w:p w14:paraId="465F4B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时间：</w:t>
      </w:r>
      <w:r>
        <w:rPr>
          <w:rFonts w:hint="eastAsia" w:ascii="仿宋" w:hAnsi="仿宋" w:eastAsia="仿宋" w:cs="仿宋"/>
          <w:color w:val="auto"/>
          <w:sz w:val="24"/>
          <w:szCs w:val="24"/>
          <w:highlight w:val="none"/>
          <w:lang w:eastAsia="zh-CN"/>
        </w:rPr>
        <w:t>2026年11月03日09:30</w:t>
      </w:r>
      <w:r>
        <w:rPr>
          <w:rFonts w:hint="eastAsia" w:ascii="仿宋" w:hAnsi="仿宋" w:eastAsia="仿宋" w:cs="仿宋"/>
          <w:bCs/>
          <w:color w:val="auto"/>
          <w:sz w:val="24"/>
          <w:szCs w:val="24"/>
          <w:highlight w:val="none"/>
        </w:rPr>
        <w:t>（北京时间）</w:t>
      </w:r>
    </w:p>
    <w:p w14:paraId="5C2F0A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sz w:val="24"/>
          <w:szCs w:val="24"/>
          <w:highlight w:val="none"/>
          <w:lang w:val="en-US" w:eastAsia="zh-CN"/>
        </w:rPr>
        <w:t>地点：</w:t>
      </w:r>
      <w:r>
        <w:rPr>
          <w:rFonts w:hint="eastAsia" w:ascii="仿宋" w:hAnsi="仿宋" w:eastAsia="仿宋" w:cs="仿宋"/>
          <w:color w:val="auto"/>
          <w:kern w:val="0"/>
          <w:sz w:val="24"/>
          <w:highlight w:val="none"/>
          <w:lang w:val="en-US" w:eastAsia="zh-CN"/>
        </w:rPr>
        <w:t>山西省太原市万柏林区南内环西街28号小王路口欢乐颂北塔933一号会议室</w:t>
      </w:r>
    </w:p>
    <w:p w14:paraId="3723F9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bookmarkStart w:id="21" w:name="_Toc35393803"/>
      <w:bookmarkStart w:id="22" w:name="_Toc28359017"/>
      <w:bookmarkStart w:id="23" w:name="_Toc28359094"/>
      <w:bookmarkStart w:id="24" w:name="_Toc35393634"/>
      <w:r>
        <w:rPr>
          <w:rFonts w:hint="eastAsia" w:ascii="仿宋" w:hAnsi="仿宋" w:eastAsia="仿宋" w:cs="仿宋"/>
          <w:b/>
          <w:bCs/>
          <w:color w:val="auto"/>
          <w:sz w:val="24"/>
          <w:szCs w:val="24"/>
          <w:highlight w:val="none"/>
        </w:rPr>
        <w:t>六、公告期限</w:t>
      </w:r>
      <w:bookmarkEnd w:id="21"/>
      <w:bookmarkEnd w:id="22"/>
      <w:bookmarkEnd w:id="23"/>
      <w:bookmarkEnd w:id="24"/>
    </w:p>
    <w:p w14:paraId="01AE2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自本公告发布之日起3个工作日。</w:t>
      </w:r>
    </w:p>
    <w:p w14:paraId="235357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bookmarkStart w:id="25" w:name="_Toc35393635"/>
      <w:bookmarkStart w:id="26" w:name="_Toc35393804"/>
      <w:r>
        <w:rPr>
          <w:rFonts w:hint="eastAsia" w:ascii="仿宋" w:hAnsi="仿宋" w:eastAsia="仿宋" w:cs="仿宋"/>
          <w:b/>
          <w:bCs/>
          <w:color w:val="auto"/>
          <w:sz w:val="24"/>
          <w:szCs w:val="24"/>
          <w:highlight w:val="none"/>
        </w:rPr>
        <w:t>七、其他补充事宜</w:t>
      </w:r>
      <w:bookmarkEnd w:id="25"/>
      <w:bookmarkEnd w:id="26"/>
    </w:p>
    <w:p w14:paraId="6DE31B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针对本项目的质疑需一次性提出，多次提出将不予受理。供应商参与山西省政府采购项目时，符合法定质疑条件的，通过政府采购平台进入“项目质疑管理”栏目向采购人、采购代理机构在线提起质疑。</w:t>
      </w:r>
    </w:p>
    <w:p w14:paraId="21EF4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代理费支付方式：供应商支付</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734F7E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代理费收费标准：</w:t>
      </w:r>
      <w:r>
        <w:rPr>
          <w:rFonts w:hint="eastAsia" w:ascii="仿宋" w:hAnsi="仿宋" w:eastAsia="仿宋" w:cs="仿宋"/>
          <w:color w:val="auto"/>
          <w:sz w:val="24"/>
          <w:szCs w:val="24"/>
          <w:highlight w:val="none"/>
          <w:lang w:eastAsia="zh-CN"/>
        </w:rPr>
        <w:t>参照国家发展和改革委员会的《招标代理服务费收费标准》（计价格[2002]1980号文和国家发展改革委办公厅关于招标代理服务收费有关问题的通知（发改办价格[2003]857号）及国家发展和改革委员会文件发改价格[2011]534号文件规定收费标准的90%支付。</w:t>
      </w:r>
    </w:p>
    <w:p w14:paraId="106A60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代理费收费金额（元）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w:t>
      </w:r>
    </w:p>
    <w:p w14:paraId="30C639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highlight w:val="none"/>
        </w:rPr>
      </w:pPr>
      <w:bookmarkStart w:id="27" w:name="_Toc28359095"/>
      <w:bookmarkStart w:id="28" w:name="_Toc35393805"/>
      <w:bookmarkStart w:id="29" w:name="_Toc28359018"/>
      <w:bookmarkStart w:id="30" w:name="_Toc35393636"/>
      <w:r>
        <w:rPr>
          <w:rFonts w:hint="eastAsia" w:ascii="仿宋" w:hAnsi="仿宋" w:eastAsia="仿宋" w:cs="仿宋"/>
          <w:b/>
          <w:bCs/>
          <w:color w:val="auto"/>
          <w:sz w:val="24"/>
          <w:szCs w:val="24"/>
          <w:highlight w:val="none"/>
        </w:rPr>
        <w:t>八、凡对本次采购提出询问，请按以下方式联系。</w:t>
      </w:r>
      <w:bookmarkEnd w:id="27"/>
      <w:bookmarkEnd w:id="28"/>
      <w:bookmarkEnd w:id="29"/>
      <w:bookmarkEnd w:id="30"/>
    </w:p>
    <w:p w14:paraId="411FDA21">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1．采购人信息</w:t>
      </w:r>
    </w:p>
    <w:p w14:paraId="2C7A4230">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名    称：山西大学</w:t>
      </w:r>
    </w:p>
    <w:p w14:paraId="57B29A10">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地    址：山西省太原市小店区坞城路92号</w:t>
      </w:r>
    </w:p>
    <w:p w14:paraId="227FE5E7">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联系方式：0351-7011255</w:t>
      </w:r>
    </w:p>
    <w:p w14:paraId="57B3A600">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p>
    <w:p w14:paraId="23ECE967">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2．采购代理机构信息</w:t>
      </w:r>
    </w:p>
    <w:p w14:paraId="794F4EC6">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名    称：山西众易诚企业管理咨询有限公司</w:t>
      </w:r>
    </w:p>
    <w:p w14:paraId="14040A4E">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地  　址：山西省太原市万柏林区南内环西街28号小王路口欢乐颂北塔933</w:t>
      </w:r>
    </w:p>
    <w:p w14:paraId="71A1508A">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联系方式：19303436336</w:t>
      </w:r>
    </w:p>
    <w:p w14:paraId="64D45D04">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p>
    <w:p w14:paraId="085EB06F">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3.项目联系方式</w:t>
      </w:r>
    </w:p>
    <w:p w14:paraId="2A41ADB5">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项目联系人：岳倩如、成鹏</w:t>
      </w:r>
    </w:p>
    <w:p w14:paraId="0F7ED7EB">
      <w:pPr>
        <w:snapToGrid w:val="0"/>
        <w:spacing w:line="360" w:lineRule="auto"/>
        <w:ind w:firstLine="720" w:firstLineChars="3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电 　　 话：19303436336</w:t>
      </w:r>
    </w:p>
    <w:p w14:paraId="3DDDF326">
      <w:pPr>
        <w:pStyle w:val="2"/>
        <w:bidi w:val="0"/>
        <w:rPr>
          <w:rFonts w:hint="eastAsia" w:ascii="仿宋" w:hAnsi="仿宋" w:eastAsia="仿宋" w:cs="仿宋"/>
          <w:b w:val="0"/>
          <w:color w:val="auto"/>
          <w:sz w:val="36"/>
          <w:szCs w:val="36"/>
          <w:highlight w:val="none"/>
        </w:rPr>
      </w:pPr>
      <w:r>
        <w:rPr>
          <w:rFonts w:hint="eastAsia" w:ascii="仿宋" w:hAnsi="仿宋" w:eastAsia="仿宋" w:cs="仿宋"/>
          <w:color w:val="auto"/>
          <w:sz w:val="24"/>
          <w:highlight w:val="none"/>
          <w:u w:val="single"/>
        </w:rPr>
        <w:br w:type="page"/>
      </w:r>
      <w:bookmarkStart w:id="31" w:name="_Toc24287"/>
      <w:r>
        <w:rPr>
          <w:rFonts w:hint="eastAsia" w:ascii="仿宋" w:hAnsi="仿宋" w:eastAsia="仿宋" w:cs="仿宋"/>
          <w:b/>
          <w:color w:val="auto"/>
          <w:kern w:val="2"/>
          <w:sz w:val="24"/>
          <w:szCs w:val="24"/>
          <w:highlight w:val="none"/>
          <w:lang w:val="en-US" w:eastAsia="zh-CN" w:bidi="ar-SA"/>
        </w:rPr>
        <w:t>第二部分  供应商须知前附表</w:t>
      </w:r>
      <w:bookmarkEnd w:id="31"/>
    </w:p>
    <w:tbl>
      <w:tblPr>
        <w:tblStyle w:val="20"/>
        <w:tblW w:w="9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850"/>
        <w:gridCol w:w="851"/>
        <w:gridCol w:w="6948"/>
      </w:tblGrid>
      <w:tr w14:paraId="33B75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7CA66F1C">
            <w:pPr>
              <w:snapToGrid w:val="0"/>
              <w:spacing w:line="360" w:lineRule="auto"/>
              <w:jc w:val="center"/>
              <w:rPr>
                <w:rFonts w:hint="eastAsia" w:ascii="仿宋" w:hAnsi="仿宋" w:eastAsia="仿宋" w:cs="仿宋"/>
                <w:b/>
                <w:color w:val="auto"/>
                <w:sz w:val="24"/>
                <w:szCs w:val="24"/>
                <w:highlight w:val="none"/>
              </w:rPr>
            </w:pPr>
            <w:bookmarkStart w:id="32" w:name="_Toc466533576"/>
            <w:r>
              <w:rPr>
                <w:rFonts w:hint="eastAsia" w:ascii="仿宋" w:hAnsi="仿宋" w:eastAsia="仿宋" w:cs="仿宋"/>
                <w:b/>
                <w:color w:val="auto"/>
                <w:sz w:val="24"/>
                <w:szCs w:val="24"/>
                <w:highlight w:val="none"/>
              </w:rPr>
              <w:t>项号</w:t>
            </w:r>
          </w:p>
        </w:tc>
        <w:tc>
          <w:tcPr>
            <w:tcW w:w="1701" w:type="dxa"/>
            <w:gridSpan w:val="2"/>
            <w:noWrap w:val="0"/>
            <w:vAlign w:val="center"/>
          </w:tcPr>
          <w:p w14:paraId="5EB22B24">
            <w:pPr>
              <w:snapToGrid w:val="0"/>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内    容</w:t>
            </w:r>
          </w:p>
        </w:tc>
        <w:tc>
          <w:tcPr>
            <w:tcW w:w="6948" w:type="dxa"/>
            <w:noWrap w:val="0"/>
            <w:vAlign w:val="center"/>
          </w:tcPr>
          <w:p w14:paraId="321EF445">
            <w:pPr>
              <w:snapToGrid w:val="0"/>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说明与要求</w:t>
            </w:r>
          </w:p>
        </w:tc>
      </w:tr>
      <w:tr w14:paraId="2193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7CFF222A">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701" w:type="dxa"/>
            <w:gridSpan w:val="2"/>
            <w:noWrap w:val="0"/>
            <w:vAlign w:val="center"/>
          </w:tcPr>
          <w:p w14:paraId="6F59BDD8">
            <w:pPr>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项目名称</w:t>
            </w:r>
          </w:p>
        </w:tc>
        <w:tc>
          <w:tcPr>
            <w:tcW w:w="6948" w:type="dxa"/>
            <w:noWrap w:val="0"/>
            <w:vAlign w:val="center"/>
          </w:tcPr>
          <w:p w14:paraId="2DB66C40">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山西大学激光直写微纳结构制备系统等设备采购项目</w:t>
            </w:r>
          </w:p>
        </w:tc>
      </w:tr>
      <w:tr w14:paraId="4585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73418AF1">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701" w:type="dxa"/>
            <w:gridSpan w:val="2"/>
            <w:noWrap w:val="0"/>
            <w:vAlign w:val="center"/>
          </w:tcPr>
          <w:p w14:paraId="0460C95C">
            <w:pPr>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合同履行期限</w:t>
            </w:r>
          </w:p>
        </w:tc>
        <w:tc>
          <w:tcPr>
            <w:tcW w:w="6948" w:type="dxa"/>
            <w:noWrap w:val="0"/>
            <w:vAlign w:val="center"/>
          </w:tcPr>
          <w:p w14:paraId="79B78EC7">
            <w:pPr>
              <w:spacing w:line="360" w:lineRule="auto"/>
              <w:jc w:val="both"/>
              <w:rPr>
                <w:rFonts w:hint="eastAsia" w:ascii="仿宋" w:hAnsi="仿宋" w:eastAsia="仿宋" w:cs="仿宋"/>
                <w:bCs/>
                <w:color w:val="auto"/>
                <w:sz w:val="24"/>
                <w:szCs w:val="24"/>
                <w:highlight w:val="none"/>
                <w:lang w:eastAsia="zh-CN"/>
              </w:rPr>
            </w:pPr>
            <w:r>
              <w:rPr>
                <w:rFonts w:hint="eastAsia" w:ascii="仿宋" w:hAnsi="仿宋" w:eastAsia="仿宋" w:cs="仿宋"/>
                <w:i w:val="0"/>
                <w:iCs w:val="0"/>
                <w:caps w:val="0"/>
                <w:color w:val="auto"/>
                <w:spacing w:val="0"/>
                <w:sz w:val="24"/>
                <w:szCs w:val="24"/>
                <w:highlight w:val="none"/>
                <w:shd w:val="clear" w:color="auto" w:fill="FFFFFF"/>
                <w:lang w:eastAsia="zh-CN"/>
              </w:rPr>
              <w:t>激光直写微纳结构制备系统、双通道超稳激光锁频系统为合同签订之日起360日内；超低震动低温恒温系统为合同签订之日起180日内。</w:t>
            </w:r>
          </w:p>
        </w:tc>
      </w:tr>
      <w:tr w14:paraId="3A43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52F35AF2">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1701" w:type="dxa"/>
            <w:gridSpan w:val="2"/>
            <w:noWrap w:val="0"/>
            <w:vAlign w:val="center"/>
          </w:tcPr>
          <w:p w14:paraId="2A1F34E8">
            <w:pPr>
              <w:spacing w:line="36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交货地点</w:t>
            </w:r>
          </w:p>
        </w:tc>
        <w:tc>
          <w:tcPr>
            <w:tcW w:w="6948" w:type="dxa"/>
            <w:noWrap w:val="0"/>
            <w:vAlign w:val="center"/>
          </w:tcPr>
          <w:p w14:paraId="5826AA51">
            <w:pPr>
              <w:spacing w:line="360" w:lineRule="auto"/>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lang w:val="en-US" w:eastAsia="zh-CN"/>
              </w:rPr>
              <w:t>山西大学指定地点。</w:t>
            </w:r>
          </w:p>
        </w:tc>
      </w:tr>
      <w:tr w14:paraId="70C8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noWrap w:val="0"/>
            <w:vAlign w:val="center"/>
          </w:tcPr>
          <w:p w14:paraId="1C7D4E8A">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1701" w:type="dxa"/>
            <w:gridSpan w:val="2"/>
            <w:noWrap w:val="0"/>
            <w:vAlign w:val="center"/>
          </w:tcPr>
          <w:p w14:paraId="5D8089BB">
            <w:pPr>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实施范围</w:t>
            </w:r>
          </w:p>
        </w:tc>
        <w:tc>
          <w:tcPr>
            <w:tcW w:w="6948" w:type="dxa"/>
            <w:noWrap w:val="0"/>
            <w:vAlign w:val="center"/>
          </w:tcPr>
          <w:p w14:paraId="70DE7335">
            <w:pPr>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具体报价范围、</w:t>
            </w:r>
            <w:r>
              <w:rPr>
                <w:rFonts w:hint="eastAsia" w:ascii="仿宋" w:hAnsi="仿宋" w:eastAsia="仿宋" w:cs="仿宋"/>
                <w:bCs/>
                <w:color w:val="auto"/>
                <w:sz w:val="24"/>
                <w:szCs w:val="24"/>
                <w:highlight w:val="none"/>
                <w:lang w:val="en-US" w:eastAsia="zh-CN"/>
              </w:rPr>
              <w:t>服务</w:t>
            </w:r>
            <w:r>
              <w:rPr>
                <w:rFonts w:hint="eastAsia" w:ascii="仿宋" w:hAnsi="仿宋" w:eastAsia="仿宋" w:cs="仿宋"/>
                <w:bCs/>
                <w:color w:val="auto"/>
                <w:sz w:val="24"/>
                <w:szCs w:val="24"/>
                <w:highlight w:val="none"/>
              </w:rPr>
              <w:t>范围及所应达到的具体要求，以《竞争性谈判文件》中</w:t>
            </w:r>
            <w:r>
              <w:rPr>
                <w:rFonts w:hint="eastAsia" w:ascii="仿宋" w:hAnsi="仿宋" w:eastAsia="仿宋" w:cs="仿宋"/>
                <w:bCs/>
                <w:color w:val="auto"/>
                <w:sz w:val="24"/>
                <w:szCs w:val="24"/>
                <w:highlight w:val="none"/>
                <w:lang w:eastAsia="zh-CN"/>
              </w:rPr>
              <w:t>商务、技术</w:t>
            </w:r>
            <w:r>
              <w:rPr>
                <w:rFonts w:hint="eastAsia" w:ascii="仿宋" w:hAnsi="仿宋" w:eastAsia="仿宋" w:cs="仿宋"/>
                <w:bCs/>
                <w:color w:val="auto"/>
                <w:sz w:val="24"/>
                <w:szCs w:val="24"/>
                <w:highlight w:val="none"/>
                <w:lang w:val="en-US" w:eastAsia="zh-CN"/>
              </w:rPr>
              <w:t>要求</w:t>
            </w:r>
            <w:r>
              <w:rPr>
                <w:rFonts w:hint="eastAsia" w:ascii="仿宋" w:hAnsi="仿宋" w:eastAsia="仿宋" w:cs="仿宋"/>
                <w:bCs/>
                <w:color w:val="auto"/>
                <w:sz w:val="24"/>
                <w:szCs w:val="24"/>
                <w:highlight w:val="none"/>
              </w:rPr>
              <w:t>的相应规定为准。</w:t>
            </w:r>
          </w:p>
        </w:tc>
      </w:tr>
      <w:tr w14:paraId="610B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12B0D0F2">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1701" w:type="dxa"/>
            <w:gridSpan w:val="2"/>
            <w:noWrap w:val="0"/>
            <w:vAlign w:val="center"/>
          </w:tcPr>
          <w:p w14:paraId="6370A14B">
            <w:pPr>
              <w:spacing w:line="36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本项目预算</w:t>
            </w:r>
          </w:p>
          <w:p w14:paraId="417072F9">
            <w:pPr>
              <w:spacing w:line="360" w:lineRule="auto"/>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eastAsia="zh-CN"/>
              </w:rPr>
              <w:t>金额</w:t>
            </w:r>
            <w:r>
              <w:rPr>
                <w:rFonts w:hint="eastAsia" w:ascii="仿宋" w:hAnsi="仿宋" w:eastAsia="仿宋" w:cs="仿宋"/>
                <w:bCs/>
                <w:color w:val="auto"/>
                <w:sz w:val="24"/>
                <w:szCs w:val="24"/>
                <w:highlight w:val="none"/>
                <w:lang w:val="en-US" w:eastAsia="zh-CN"/>
              </w:rPr>
              <w:t>及最高限价</w:t>
            </w:r>
          </w:p>
        </w:tc>
        <w:tc>
          <w:tcPr>
            <w:tcW w:w="6948" w:type="dxa"/>
            <w:noWrap w:val="0"/>
            <w:vAlign w:val="center"/>
          </w:tcPr>
          <w:p w14:paraId="27B019C2">
            <w:pPr>
              <w:spacing w:line="360" w:lineRule="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预算金</w:t>
            </w:r>
            <w:r>
              <w:rPr>
                <w:rFonts w:hint="eastAsia" w:ascii="仿宋" w:hAnsi="仿宋" w:eastAsia="仿宋" w:cs="仿宋"/>
                <w:bCs/>
                <w:color w:val="auto"/>
                <w:sz w:val="24"/>
                <w:szCs w:val="24"/>
                <w:highlight w:val="none"/>
              </w:rPr>
              <w:t>额：</w:t>
            </w:r>
            <w:r>
              <w:rPr>
                <w:rFonts w:hint="eastAsia" w:ascii="仿宋" w:hAnsi="仿宋" w:eastAsia="仿宋" w:cs="仿宋"/>
                <w:bCs/>
                <w:color w:val="auto"/>
                <w:sz w:val="24"/>
                <w:szCs w:val="24"/>
                <w:highlight w:val="none"/>
                <w:lang w:val="en-US" w:eastAsia="zh-CN"/>
              </w:rPr>
              <w:t>3440000元</w:t>
            </w:r>
            <w:r>
              <w:rPr>
                <w:rFonts w:hint="eastAsia" w:ascii="仿宋" w:hAnsi="仿宋" w:eastAsia="仿宋" w:cs="仿宋"/>
                <w:bCs/>
                <w:color w:val="auto"/>
                <w:sz w:val="24"/>
                <w:szCs w:val="24"/>
                <w:highlight w:val="none"/>
              </w:rPr>
              <w:t>；</w:t>
            </w:r>
          </w:p>
          <w:p w14:paraId="2A58599F">
            <w:pPr>
              <w:spacing w:line="360" w:lineRule="auto"/>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最高限价</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lang w:val="en-US" w:eastAsia="zh-CN"/>
              </w:rPr>
              <w:t>3440000元</w:t>
            </w:r>
            <w:r>
              <w:rPr>
                <w:rFonts w:hint="eastAsia" w:ascii="仿宋" w:hAnsi="仿宋" w:eastAsia="仿宋" w:cs="仿宋"/>
                <w:bCs/>
                <w:color w:val="auto"/>
                <w:sz w:val="24"/>
                <w:szCs w:val="24"/>
                <w:highlight w:val="none"/>
              </w:rPr>
              <w:t>；</w:t>
            </w:r>
          </w:p>
          <w:p w14:paraId="52B695F8">
            <w:pPr>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bCs/>
                <w:color w:val="auto"/>
                <w:sz w:val="24"/>
                <w:szCs w:val="24"/>
                <w:highlight w:val="none"/>
                <w:lang w:val="en-US" w:eastAsia="zh-CN"/>
              </w:rPr>
              <w:t>注：供应</w:t>
            </w:r>
            <w:r>
              <w:rPr>
                <w:rFonts w:hint="eastAsia" w:ascii="仿宋" w:hAnsi="仿宋" w:eastAsia="仿宋" w:cs="仿宋"/>
                <w:color w:val="auto"/>
                <w:sz w:val="24"/>
                <w:szCs w:val="24"/>
                <w:highlight w:val="none"/>
                <w:lang w:val="en-US" w:eastAsia="zh-CN"/>
              </w:rPr>
              <w:t>商报价超过最高限价的，将否决其谈判。</w:t>
            </w:r>
          </w:p>
        </w:tc>
      </w:tr>
      <w:tr w14:paraId="38BD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668CB551">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1701" w:type="dxa"/>
            <w:gridSpan w:val="2"/>
            <w:noWrap w:val="0"/>
            <w:vAlign w:val="center"/>
          </w:tcPr>
          <w:p w14:paraId="0325FF19">
            <w:pPr>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供应商应具备的特定资格要求</w:t>
            </w:r>
          </w:p>
        </w:tc>
        <w:tc>
          <w:tcPr>
            <w:tcW w:w="6948" w:type="dxa"/>
            <w:noWrap w:val="0"/>
            <w:vAlign w:val="center"/>
          </w:tcPr>
          <w:p w14:paraId="6C0B9D14">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无</w:t>
            </w:r>
          </w:p>
        </w:tc>
      </w:tr>
      <w:tr w14:paraId="293A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1B44DAB7">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1701" w:type="dxa"/>
            <w:gridSpan w:val="2"/>
            <w:noWrap w:val="0"/>
            <w:vAlign w:val="center"/>
          </w:tcPr>
          <w:p w14:paraId="10E55DBA">
            <w:pPr>
              <w:spacing w:line="360" w:lineRule="auto"/>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是否允许代理商参加</w:t>
            </w:r>
          </w:p>
        </w:tc>
        <w:tc>
          <w:tcPr>
            <w:tcW w:w="6948" w:type="dxa"/>
            <w:noWrap w:val="0"/>
            <w:vAlign w:val="center"/>
          </w:tcPr>
          <w:p w14:paraId="4ABE75DD">
            <w:pPr>
              <w:spacing w:line="360" w:lineRule="auto"/>
              <w:jc w:val="left"/>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是</w:t>
            </w:r>
          </w:p>
        </w:tc>
      </w:tr>
      <w:tr w14:paraId="272F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54009DD2">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1701" w:type="dxa"/>
            <w:gridSpan w:val="2"/>
            <w:noWrap w:val="0"/>
            <w:vAlign w:val="center"/>
          </w:tcPr>
          <w:p w14:paraId="26D3CA61">
            <w:pPr>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是否允许联合体参加</w:t>
            </w:r>
          </w:p>
        </w:tc>
        <w:tc>
          <w:tcPr>
            <w:tcW w:w="6948" w:type="dxa"/>
            <w:noWrap w:val="0"/>
            <w:vAlign w:val="center"/>
          </w:tcPr>
          <w:p w14:paraId="27109EC8">
            <w:pPr>
              <w:spacing w:line="360" w:lineRule="auto"/>
              <w:jc w:val="left"/>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否</w:t>
            </w:r>
          </w:p>
        </w:tc>
      </w:tr>
      <w:tr w14:paraId="373F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533E2FEA">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1701" w:type="dxa"/>
            <w:gridSpan w:val="2"/>
            <w:noWrap w:val="0"/>
            <w:vAlign w:val="center"/>
          </w:tcPr>
          <w:p w14:paraId="3C4D578C">
            <w:pPr>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响应文件份数及解密时间</w:t>
            </w:r>
          </w:p>
        </w:tc>
        <w:tc>
          <w:tcPr>
            <w:tcW w:w="6948" w:type="dxa"/>
            <w:noWrap w:val="0"/>
            <w:vAlign w:val="center"/>
          </w:tcPr>
          <w:p w14:paraId="605432F1">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1.响应文件份数：</w:t>
            </w:r>
          </w:p>
          <w:p w14:paraId="0DD4B492">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供应商需在政采云系统上传加密电子响应文件壹份；</w:t>
            </w:r>
          </w:p>
          <w:p w14:paraId="075464AD">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2.解密时长：</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rPr>
              <w:t>0分钟。</w:t>
            </w:r>
          </w:p>
          <w:p w14:paraId="6D875E44">
            <w:pPr>
              <w:spacing w:line="360" w:lineRule="auto"/>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解密截止时间未进行解密的，视为未递交响应文件。</w:t>
            </w:r>
          </w:p>
          <w:p w14:paraId="7F2EE1C0">
            <w:pPr>
              <w:spacing w:line="360" w:lineRule="auto"/>
              <w:jc w:val="left"/>
              <w:rPr>
                <w:rFonts w:hint="default" w:ascii="仿宋" w:hAnsi="仿宋" w:eastAsia="仿宋" w:cs="仿宋"/>
                <w:bCs/>
                <w:color w:val="auto"/>
                <w:sz w:val="24"/>
                <w:szCs w:val="24"/>
                <w:highlight w:val="none"/>
                <w:lang w:val="en-US"/>
              </w:rPr>
            </w:pPr>
            <w:r>
              <w:rPr>
                <w:rFonts w:hint="eastAsia" w:ascii="仿宋" w:hAnsi="仿宋" w:eastAsia="仿宋" w:cs="仿宋"/>
                <w:bCs/>
                <w:color w:val="auto"/>
                <w:sz w:val="24"/>
                <w:szCs w:val="24"/>
                <w:highlight w:val="none"/>
              </w:rPr>
              <w:t>注：供应商需远程解密。（可自备电脑进行解密）</w:t>
            </w:r>
          </w:p>
        </w:tc>
      </w:tr>
      <w:tr w14:paraId="42F0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13" w:type="dxa"/>
            <w:noWrap w:val="0"/>
            <w:vAlign w:val="center"/>
          </w:tcPr>
          <w:p w14:paraId="5692E166">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1701" w:type="dxa"/>
            <w:gridSpan w:val="2"/>
            <w:noWrap w:val="0"/>
            <w:vAlign w:val="center"/>
          </w:tcPr>
          <w:p w14:paraId="40928594">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供应商应提交的资格证明文件</w:t>
            </w:r>
          </w:p>
        </w:tc>
        <w:tc>
          <w:tcPr>
            <w:tcW w:w="6948" w:type="dxa"/>
            <w:noWrap w:val="0"/>
            <w:vAlign w:val="center"/>
          </w:tcPr>
          <w:p w14:paraId="78B98195">
            <w:pPr>
              <w:snapToGrid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1、供应商具有独立承担民事责任的能力的承诺函（格式见第七部分）</w:t>
            </w:r>
            <w:r>
              <w:rPr>
                <w:rFonts w:hint="eastAsia" w:ascii="仿宋" w:hAnsi="仿宋" w:eastAsia="仿宋" w:cs="仿宋"/>
                <w:color w:val="auto"/>
                <w:sz w:val="24"/>
                <w:szCs w:val="24"/>
                <w:highlight w:val="none"/>
                <w:lang w:eastAsia="zh-CN"/>
              </w:rPr>
              <w:t>；</w:t>
            </w:r>
          </w:p>
          <w:p w14:paraId="28A29992">
            <w:pPr>
              <w:snapToGrid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供应商具有良好的商业信誉和健全的财务会计制度的承诺函（格式见第七部分）；</w:t>
            </w:r>
          </w:p>
          <w:p w14:paraId="5EBB49CF">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、供应商具有履行合同所必需的设备和专业技术能力的承诺函</w:t>
            </w:r>
            <w:r>
              <w:rPr>
                <w:rFonts w:hint="eastAsia" w:ascii="仿宋" w:hAnsi="仿宋" w:eastAsia="仿宋" w:cs="仿宋"/>
                <w:color w:val="auto"/>
                <w:sz w:val="24"/>
                <w:szCs w:val="24"/>
                <w:highlight w:val="none"/>
              </w:rPr>
              <w:t>（格式见第七部分）；</w:t>
            </w:r>
          </w:p>
          <w:p w14:paraId="61017CC7">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供应商</w:t>
            </w:r>
            <w:r>
              <w:rPr>
                <w:rFonts w:hint="eastAsia" w:ascii="仿宋" w:hAnsi="仿宋" w:eastAsia="仿宋" w:cs="仿宋"/>
                <w:color w:val="auto"/>
                <w:sz w:val="24"/>
                <w:szCs w:val="24"/>
                <w:highlight w:val="none"/>
                <w:lang w:val="en-US" w:eastAsia="zh-CN"/>
              </w:rPr>
              <w:t>具</w:t>
            </w:r>
            <w:r>
              <w:rPr>
                <w:rFonts w:hint="eastAsia" w:ascii="仿宋" w:hAnsi="仿宋" w:eastAsia="仿宋" w:cs="仿宋"/>
                <w:color w:val="auto"/>
                <w:sz w:val="24"/>
                <w:szCs w:val="24"/>
                <w:highlight w:val="none"/>
              </w:rPr>
              <w:t>有依法缴纳税收和社会保障资金的良好记录的承诺函（格式见第七部分）；</w:t>
            </w:r>
          </w:p>
          <w:p w14:paraId="2C065917">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、供应商参加政府采购活动前三年内，在经营活动中没有重大违法记录的承诺函</w:t>
            </w:r>
            <w:r>
              <w:rPr>
                <w:rFonts w:hint="eastAsia" w:ascii="仿宋" w:hAnsi="仿宋" w:eastAsia="仿宋" w:cs="仿宋"/>
                <w:color w:val="auto"/>
                <w:sz w:val="24"/>
                <w:szCs w:val="24"/>
                <w:highlight w:val="none"/>
              </w:rPr>
              <w:t>（格式见第七部分）；</w:t>
            </w:r>
          </w:p>
          <w:p w14:paraId="7CCA4D9E">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单位负责人为同一人或者存在直接控股、管理关系的不同</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，不得参加同一合同项下的政府采购活动（格式见第七部分）；</w:t>
            </w:r>
          </w:p>
          <w:p w14:paraId="45F9DFC0">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廉洁自律承诺书（格式见第七部分）；</w:t>
            </w:r>
          </w:p>
          <w:p w14:paraId="73C363CC">
            <w:pPr>
              <w:snapToGrid w:val="0"/>
              <w:spacing w:line="360" w:lineRule="auto"/>
              <w:rPr>
                <w:rFonts w:hint="default" w:ascii="仿宋" w:hAnsi="仿宋" w:eastAsia="仿宋" w:cs="仿宋"/>
                <w:strike/>
                <w:color w:val="auto"/>
                <w:sz w:val="24"/>
                <w:szCs w:val="24"/>
                <w:highlight w:val="none"/>
                <w:lang w:eastAsia="zh-CN"/>
              </w:rPr>
            </w:pPr>
            <w:r>
              <w:rPr>
                <w:rFonts w:hint="eastAsia" w:ascii="仿宋" w:hAnsi="仿宋" w:eastAsia="仿宋" w:cs="仿宋"/>
                <w:strike w:val="0"/>
                <w:dstrike w:val="0"/>
                <w:color w:val="auto"/>
                <w:sz w:val="24"/>
                <w:szCs w:val="24"/>
                <w:highlight w:val="none"/>
                <w:lang w:val="en-US" w:eastAsia="zh-CN"/>
              </w:rPr>
              <w:t>8</w:t>
            </w:r>
            <w:r>
              <w:rPr>
                <w:rFonts w:hint="eastAsia" w:ascii="仿宋" w:hAnsi="仿宋" w:eastAsia="仿宋" w:cs="仿宋"/>
                <w:strike w:val="0"/>
                <w:dstrike w:val="0"/>
                <w:color w:val="auto"/>
                <w:sz w:val="24"/>
                <w:szCs w:val="24"/>
                <w:highlight w:val="none"/>
              </w:rPr>
              <w:t>、</w:t>
            </w:r>
            <w:r>
              <w:rPr>
                <w:rFonts w:hint="eastAsia" w:ascii="仿宋" w:hAnsi="仿宋" w:eastAsia="仿宋" w:cs="仿宋"/>
                <w:strike w:val="0"/>
                <w:dstrike w:val="0"/>
                <w:color w:val="auto"/>
                <w:sz w:val="24"/>
                <w:szCs w:val="24"/>
                <w:highlight w:val="none"/>
                <w:lang w:eastAsia="zh-CN"/>
              </w:rPr>
              <w:t>供应商基本存款账户开户许可证（或基本存款账户开户证明复印件）及</w:t>
            </w:r>
            <w:r>
              <w:rPr>
                <w:rFonts w:hint="eastAsia" w:ascii="仿宋" w:hAnsi="仿宋" w:eastAsia="仿宋" w:cs="仿宋"/>
                <w:strike w:val="0"/>
                <w:dstrike w:val="0"/>
                <w:color w:val="auto"/>
                <w:sz w:val="24"/>
                <w:szCs w:val="24"/>
                <w:highlight w:val="none"/>
                <w:lang w:val="en-US" w:eastAsia="zh-CN"/>
              </w:rPr>
              <w:t>谈判</w:t>
            </w:r>
            <w:r>
              <w:rPr>
                <w:rFonts w:hint="eastAsia" w:ascii="仿宋" w:hAnsi="仿宋" w:eastAsia="仿宋" w:cs="仿宋"/>
                <w:strike w:val="0"/>
                <w:dstrike w:val="0"/>
                <w:color w:val="auto"/>
                <w:sz w:val="24"/>
                <w:szCs w:val="24"/>
                <w:highlight w:val="none"/>
                <w:lang w:eastAsia="zh-CN"/>
              </w:rPr>
              <w:t>保证金凭证；（复印件或影印件须加盖供应商公章）</w:t>
            </w:r>
            <w:r>
              <w:rPr>
                <w:rFonts w:hint="eastAsia" w:ascii="仿宋" w:hAnsi="仿宋" w:eastAsia="仿宋" w:cs="仿宋"/>
                <w:strike w:val="0"/>
                <w:dstrike w:val="0"/>
                <w:color w:val="auto"/>
                <w:sz w:val="24"/>
                <w:szCs w:val="24"/>
                <w:highlight w:val="none"/>
              </w:rPr>
              <w:t>；</w:t>
            </w:r>
          </w:p>
          <w:p w14:paraId="21A0847B">
            <w:pPr>
              <w:snapToGrid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9、落实政府采购政策资格要求的证明文件：无</w:t>
            </w:r>
          </w:p>
          <w:p w14:paraId="72A3E266">
            <w:pPr>
              <w:snapToGrid w:val="0"/>
              <w:spacing w:line="36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10.本项目的特定资格要求证明材料：无。</w:t>
            </w:r>
          </w:p>
          <w:p w14:paraId="6165A2C9">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以上资格证明文件，若有一项未提供或无效，或因模糊不清无法确定是否符合</w:t>
            </w:r>
            <w:r>
              <w:rPr>
                <w:rFonts w:hint="eastAsia" w:ascii="仿宋" w:hAnsi="仿宋" w:eastAsia="仿宋" w:cs="仿宋"/>
                <w:color w:val="auto"/>
                <w:sz w:val="24"/>
                <w:szCs w:val="24"/>
                <w:highlight w:val="none"/>
                <w:lang w:val="en-US" w:eastAsia="zh-CN"/>
              </w:rPr>
              <w:t>竞争性谈判</w:t>
            </w:r>
            <w:r>
              <w:rPr>
                <w:rFonts w:hint="eastAsia" w:ascii="仿宋" w:hAnsi="仿宋" w:eastAsia="仿宋" w:cs="仿宋"/>
                <w:color w:val="auto"/>
                <w:sz w:val="24"/>
                <w:szCs w:val="24"/>
                <w:highlight w:val="none"/>
              </w:rPr>
              <w:t>文件要求，将导致其不具备投标资格，且不允许在开标后补正。</w:t>
            </w:r>
          </w:p>
          <w:p w14:paraId="34B391C6">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谈判小组</w:t>
            </w:r>
            <w:r>
              <w:rPr>
                <w:rFonts w:hint="eastAsia" w:ascii="仿宋" w:hAnsi="仿宋" w:eastAsia="仿宋" w:cs="仿宋"/>
                <w:color w:val="auto"/>
                <w:sz w:val="24"/>
                <w:szCs w:val="24"/>
                <w:highlight w:val="none"/>
              </w:rPr>
              <w:t>于开启后对供应商的信用信息进行查询，供应商需在响应文件中进行承诺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通过中国执行信息公开网（http://zxgk.court.gov.cn/shixin/）“信用中国”网站（http://www.creditchina.gov.cn）、中国政府采购网（http://www.ccgp.gov.cn）查询相关主体信用记录，截止时间为开标当日；查询内容为“中国执行信息公开网”的失信被执行人黑名单记录情况和中国政府采购网上的政府采购严重违法失信行为信息记录情况或其他信用信息记录。供应商存在失信记录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未承诺的</w:t>
            </w:r>
            <w:r>
              <w:rPr>
                <w:rFonts w:hint="eastAsia" w:ascii="仿宋" w:hAnsi="仿宋" w:eastAsia="仿宋" w:cs="仿宋"/>
                <w:color w:val="auto"/>
                <w:sz w:val="24"/>
                <w:szCs w:val="24"/>
                <w:highlight w:val="none"/>
              </w:rPr>
              <w:t>，其响应文件将作无效处理。（此项资格证明文件无需供应商提供）；</w:t>
            </w:r>
          </w:p>
        </w:tc>
      </w:tr>
      <w:tr w14:paraId="4C84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66F67F80">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1701" w:type="dxa"/>
            <w:gridSpan w:val="2"/>
            <w:noWrap w:val="0"/>
            <w:vAlign w:val="center"/>
          </w:tcPr>
          <w:p w14:paraId="474A523A">
            <w:pPr>
              <w:snapToGrid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供应商应提交的</w:t>
            </w:r>
            <w:r>
              <w:rPr>
                <w:rFonts w:hint="eastAsia" w:ascii="仿宋" w:hAnsi="仿宋" w:eastAsia="仿宋" w:cs="仿宋"/>
                <w:color w:val="auto"/>
                <w:sz w:val="24"/>
                <w:szCs w:val="24"/>
                <w:highlight w:val="none"/>
                <w:lang w:eastAsia="zh-CN"/>
              </w:rPr>
              <w:t>商务</w:t>
            </w:r>
            <w:r>
              <w:rPr>
                <w:rFonts w:hint="eastAsia" w:ascii="仿宋" w:hAnsi="仿宋" w:eastAsia="仿宋" w:cs="仿宋"/>
                <w:color w:val="auto"/>
                <w:sz w:val="24"/>
                <w:szCs w:val="24"/>
                <w:highlight w:val="none"/>
                <w:lang w:val="en-US" w:eastAsia="zh-CN"/>
              </w:rPr>
              <w:t>技术</w:t>
            </w:r>
            <w:r>
              <w:rPr>
                <w:rFonts w:hint="eastAsia" w:ascii="仿宋" w:hAnsi="仿宋" w:eastAsia="仿宋" w:cs="仿宋"/>
                <w:color w:val="auto"/>
                <w:sz w:val="24"/>
                <w:szCs w:val="24"/>
                <w:highlight w:val="none"/>
                <w:lang w:eastAsia="zh-CN"/>
              </w:rPr>
              <w:t>文件</w:t>
            </w:r>
          </w:p>
        </w:tc>
        <w:tc>
          <w:tcPr>
            <w:tcW w:w="6948" w:type="dxa"/>
            <w:noWrap w:val="0"/>
            <w:vAlign w:val="center"/>
          </w:tcPr>
          <w:p w14:paraId="750E88C6">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供应商应按下列顺序提交</w:t>
            </w:r>
            <w:r>
              <w:rPr>
                <w:rFonts w:hint="eastAsia" w:ascii="仿宋" w:hAnsi="仿宋" w:eastAsia="仿宋" w:cs="仿宋"/>
                <w:color w:val="auto"/>
                <w:sz w:val="24"/>
                <w:szCs w:val="24"/>
                <w:highlight w:val="none"/>
                <w:lang w:eastAsia="zh-CN"/>
              </w:rPr>
              <w:t>商务服务文件</w:t>
            </w:r>
            <w:r>
              <w:rPr>
                <w:rFonts w:hint="eastAsia" w:ascii="仿宋" w:hAnsi="仿宋" w:eastAsia="仿宋" w:cs="仿宋"/>
                <w:color w:val="auto"/>
                <w:sz w:val="24"/>
                <w:szCs w:val="24"/>
                <w:highlight w:val="none"/>
              </w:rPr>
              <w:t>，其中加*项为实质性响应条款。</w:t>
            </w:r>
          </w:p>
          <w:p w14:paraId="3F47CFE7">
            <w:pPr>
              <w:pStyle w:val="6"/>
              <w:keepNext w:val="0"/>
              <w:keepLines w:val="0"/>
              <w:pageBreakBefore w:val="0"/>
              <w:kinsoku/>
              <w:wordWrap/>
              <w:overflowPunct/>
              <w:topLinePunct w:val="0"/>
              <w:autoSpaceDE/>
              <w:autoSpaceDN/>
              <w:bidi w:val="0"/>
              <w:adjustRightInd/>
              <w:snapToGrid/>
              <w:spacing w:before="0"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1、*谈判函（格式见第七部分）；</w:t>
            </w:r>
          </w:p>
          <w:p w14:paraId="0383210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2、*法定代表人（负责人）身份证明书（格式见第七部分）；</w:t>
            </w:r>
          </w:p>
          <w:p w14:paraId="2ADF1FF3">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3、*法定代表人（负责人）授权委托书（格式见第七部分）；</w:t>
            </w:r>
          </w:p>
          <w:p w14:paraId="70591C9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4、*报价一览表(格式见第七部分）；</w:t>
            </w:r>
          </w:p>
          <w:p w14:paraId="3686BD19">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5、*分项报价表(格式见第七部分）；</w:t>
            </w:r>
          </w:p>
          <w:p w14:paraId="77D9468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6、近三年类似项目案例及相关证明资料（复印件，类似项目要求见评审程序、方法及标准）；</w:t>
            </w:r>
          </w:p>
          <w:p w14:paraId="57A0E9E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7、*商务偏离表(格式见第七部分)；</w:t>
            </w:r>
          </w:p>
          <w:p w14:paraId="5FC135EE">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8、*技术偏离表(格式见第七部分)；</w:t>
            </w:r>
          </w:p>
          <w:p w14:paraId="07B516B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9、*采购货物主要技术指标和运行性能的详细描述；</w:t>
            </w:r>
          </w:p>
          <w:p w14:paraId="79C4786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10、针对本项目的技术方案；</w:t>
            </w:r>
          </w:p>
          <w:p w14:paraId="158F1B7D">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11、项目人员机构的配备；</w:t>
            </w:r>
          </w:p>
          <w:p w14:paraId="720BEA28">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12、供应商认为需要提供的其他商务技术材料；</w:t>
            </w:r>
          </w:p>
          <w:p w14:paraId="0A61945F">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政策性要求(格式见第七部分)</w:t>
            </w:r>
            <w:r>
              <w:rPr>
                <w:rFonts w:hint="eastAsia" w:ascii="仿宋" w:hAnsi="仿宋" w:eastAsia="仿宋" w:cs="仿宋"/>
                <w:color w:val="auto"/>
                <w:sz w:val="24"/>
                <w:szCs w:val="24"/>
                <w:highlight w:val="none"/>
                <w:lang w:eastAsia="zh-CN"/>
              </w:rPr>
              <w:t>。</w:t>
            </w:r>
          </w:p>
        </w:tc>
      </w:tr>
      <w:tr w14:paraId="22D4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13" w:type="dxa"/>
            <w:noWrap w:val="0"/>
            <w:vAlign w:val="center"/>
          </w:tcPr>
          <w:p w14:paraId="4F3377DE">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1701" w:type="dxa"/>
            <w:gridSpan w:val="2"/>
            <w:noWrap w:val="0"/>
            <w:vAlign w:val="center"/>
          </w:tcPr>
          <w:p w14:paraId="505DB21B">
            <w:pPr>
              <w:snapToGrid w:val="0"/>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响应有效期</w:t>
            </w:r>
          </w:p>
        </w:tc>
        <w:tc>
          <w:tcPr>
            <w:tcW w:w="6948" w:type="dxa"/>
            <w:noWrap w:val="0"/>
            <w:vAlign w:val="center"/>
          </w:tcPr>
          <w:p w14:paraId="7865B19E">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90</w:t>
            </w:r>
            <w:r>
              <w:rPr>
                <w:rFonts w:hint="eastAsia" w:ascii="仿宋" w:hAnsi="仿宋" w:eastAsia="仿宋" w:cs="仿宋"/>
                <w:color w:val="auto"/>
                <w:sz w:val="24"/>
                <w:szCs w:val="24"/>
                <w:highlight w:val="none"/>
              </w:rPr>
              <w:t>日历天（从递交响应文件截止之日起计算）</w:t>
            </w:r>
          </w:p>
        </w:tc>
      </w:tr>
      <w:tr w14:paraId="172E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4" w:hRule="atLeast"/>
          <w:jc w:val="center"/>
        </w:trPr>
        <w:tc>
          <w:tcPr>
            <w:tcW w:w="713" w:type="dxa"/>
            <w:noWrap w:val="0"/>
            <w:vAlign w:val="center"/>
          </w:tcPr>
          <w:p w14:paraId="00DCAFBD">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1701" w:type="dxa"/>
            <w:gridSpan w:val="2"/>
            <w:noWrap w:val="0"/>
            <w:vAlign w:val="center"/>
          </w:tcPr>
          <w:p w14:paraId="7DB692BE">
            <w:pPr>
              <w:spacing w:line="360" w:lineRule="auto"/>
              <w:ind w:left="-103" w:leftChars="-49" w:right="-94" w:rightChars="-45"/>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谈判过程中可能实质性变动内容</w:t>
            </w:r>
          </w:p>
        </w:tc>
        <w:tc>
          <w:tcPr>
            <w:tcW w:w="6948" w:type="dxa"/>
            <w:noWrap w:val="0"/>
            <w:vAlign w:val="center"/>
          </w:tcPr>
          <w:p w14:paraId="4AD498CB">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谈判过程中可能实质性变动内容为竞争性谈判文件中第五部分商务、技术要求以及第六部分政府采购合同中相关内容，不得变动竞争性谈判文件中的其他内容。实质性变动的内容，须经采购人代表确认。</w:t>
            </w:r>
          </w:p>
        </w:tc>
      </w:tr>
      <w:tr w14:paraId="33DA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13" w:type="dxa"/>
            <w:noWrap w:val="0"/>
            <w:vAlign w:val="center"/>
          </w:tcPr>
          <w:p w14:paraId="6BE3496E">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w:t>
            </w:r>
          </w:p>
        </w:tc>
        <w:tc>
          <w:tcPr>
            <w:tcW w:w="1701" w:type="dxa"/>
            <w:gridSpan w:val="2"/>
            <w:noWrap w:val="0"/>
            <w:vAlign w:val="center"/>
          </w:tcPr>
          <w:p w14:paraId="5DE38988">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谈判</w:t>
            </w:r>
            <w:r>
              <w:rPr>
                <w:rFonts w:hint="eastAsia" w:ascii="仿宋" w:hAnsi="仿宋" w:eastAsia="仿宋" w:cs="仿宋"/>
                <w:color w:val="auto"/>
                <w:sz w:val="24"/>
                <w:szCs w:val="24"/>
                <w:highlight w:val="none"/>
              </w:rPr>
              <w:t>保证金金额及提交要求</w:t>
            </w:r>
          </w:p>
        </w:tc>
        <w:tc>
          <w:tcPr>
            <w:tcW w:w="6948" w:type="dxa"/>
            <w:noWrap w:val="0"/>
            <w:vAlign w:val="center"/>
          </w:tcPr>
          <w:p w14:paraId="5705C031">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谈判保证金提交截止时间：同响应文件递交截止时间</w:t>
            </w:r>
          </w:p>
          <w:p w14:paraId="3B8693D2">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谈判保证金金额：人民币叁万肆仟元整（￥34000元）</w:t>
            </w:r>
          </w:p>
          <w:p w14:paraId="6F315297">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提交谈判保证金须以支票、汇票、本票、网上银行转账或金融机构、担保机构出具的保函、电子保函等非现金形式提交，供应商须确保谈判保证金在开标之前到账。谈判保证金须按照谈判文件要求的数额提交，须从供应商的基本存款账户转出。</w:t>
            </w:r>
          </w:p>
          <w:p w14:paraId="350B305D">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开户名称：山西众易诚企业管理咨询有限公司</w:t>
            </w:r>
          </w:p>
          <w:p w14:paraId="15161956">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开户银行：招商银行股份有限公司太原亲贤街支行</w:t>
            </w:r>
          </w:p>
          <w:p w14:paraId="0DB18273">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账    号：351906576810001</w:t>
            </w:r>
          </w:p>
          <w:p w14:paraId="47D7FBA6">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行    号：308161039034</w:t>
            </w:r>
          </w:p>
          <w:p w14:paraId="03325AC2">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未按前述要求提交谈判保证金或未足额提交谈判保证金的投标，将被视为无效响应。</w:t>
            </w:r>
          </w:p>
          <w:p w14:paraId="6A194206">
            <w:pPr>
              <w:widowControl/>
              <w:snapToGrid w:val="0"/>
              <w:spacing w:line="46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要    求：汇款时标注项目编号或项目名称简称</w:t>
            </w:r>
          </w:p>
        </w:tc>
      </w:tr>
      <w:tr w14:paraId="27C0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vMerge w:val="restart"/>
            <w:noWrap w:val="0"/>
            <w:vAlign w:val="center"/>
          </w:tcPr>
          <w:p w14:paraId="160822E8">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1701" w:type="dxa"/>
            <w:gridSpan w:val="2"/>
            <w:noWrap w:val="0"/>
            <w:vAlign w:val="center"/>
          </w:tcPr>
          <w:p w14:paraId="5668C193">
            <w:pPr>
              <w:snapToGrid w:val="0"/>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考察现场</w:t>
            </w:r>
          </w:p>
        </w:tc>
        <w:tc>
          <w:tcPr>
            <w:tcW w:w="6948" w:type="dxa"/>
            <w:noWrap w:val="0"/>
            <w:vAlign w:val="center"/>
          </w:tcPr>
          <w:p w14:paraId="55FEBD52">
            <w:pPr>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不组织</w:t>
            </w:r>
          </w:p>
        </w:tc>
      </w:tr>
      <w:tr w14:paraId="0FFB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3" w:type="dxa"/>
            <w:vMerge w:val="continue"/>
            <w:noWrap w:val="0"/>
            <w:vAlign w:val="center"/>
          </w:tcPr>
          <w:p w14:paraId="31F9F144">
            <w:pPr>
              <w:snapToGrid w:val="0"/>
              <w:spacing w:line="360" w:lineRule="auto"/>
              <w:jc w:val="center"/>
              <w:rPr>
                <w:rFonts w:hint="eastAsia" w:ascii="仿宋" w:hAnsi="仿宋" w:eastAsia="仿宋" w:cs="仿宋"/>
                <w:color w:val="auto"/>
                <w:sz w:val="24"/>
                <w:szCs w:val="24"/>
                <w:highlight w:val="none"/>
              </w:rPr>
            </w:pPr>
          </w:p>
        </w:tc>
        <w:tc>
          <w:tcPr>
            <w:tcW w:w="1701" w:type="dxa"/>
            <w:gridSpan w:val="2"/>
            <w:noWrap w:val="0"/>
            <w:vAlign w:val="center"/>
          </w:tcPr>
          <w:p w14:paraId="2EFCB952">
            <w:pPr>
              <w:snapToGrid w:val="0"/>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答疑会</w:t>
            </w:r>
          </w:p>
        </w:tc>
        <w:tc>
          <w:tcPr>
            <w:tcW w:w="6948" w:type="dxa"/>
            <w:noWrap w:val="0"/>
            <w:vAlign w:val="center"/>
          </w:tcPr>
          <w:p w14:paraId="5BF9E66F">
            <w:pPr>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不召开</w:t>
            </w:r>
          </w:p>
        </w:tc>
      </w:tr>
      <w:tr w14:paraId="371DD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13" w:type="dxa"/>
            <w:noWrap w:val="0"/>
            <w:vAlign w:val="center"/>
          </w:tcPr>
          <w:p w14:paraId="6AB662F4">
            <w:pPr>
              <w:snapToGrid w:val="0"/>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16</w:t>
            </w:r>
          </w:p>
        </w:tc>
        <w:tc>
          <w:tcPr>
            <w:tcW w:w="1701" w:type="dxa"/>
            <w:gridSpan w:val="2"/>
            <w:noWrap w:val="0"/>
            <w:vAlign w:val="center"/>
          </w:tcPr>
          <w:p w14:paraId="314F9F88">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w:t>
            </w: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文件加密要求</w:t>
            </w:r>
          </w:p>
        </w:tc>
        <w:tc>
          <w:tcPr>
            <w:tcW w:w="6948" w:type="dxa"/>
            <w:noWrap w:val="0"/>
            <w:vAlign w:val="center"/>
          </w:tcPr>
          <w:p w14:paraId="74F328F1">
            <w:pPr>
              <w:snapToGrid w:val="0"/>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供应商通过</w:t>
            </w:r>
            <w:r>
              <w:rPr>
                <w:rFonts w:hint="eastAsia" w:ascii="仿宋" w:hAnsi="仿宋" w:eastAsia="仿宋" w:cs="仿宋"/>
                <w:color w:val="auto"/>
                <w:sz w:val="24"/>
                <w:szCs w:val="24"/>
                <w:highlight w:val="none"/>
                <w:lang w:val="en-US" w:eastAsia="zh-CN"/>
              </w:rPr>
              <w:t>政采云</w:t>
            </w:r>
            <w:r>
              <w:rPr>
                <w:rFonts w:hint="eastAsia" w:ascii="仿宋" w:hAnsi="仿宋" w:eastAsia="仿宋" w:cs="仿宋"/>
                <w:color w:val="auto"/>
                <w:sz w:val="24"/>
                <w:szCs w:val="24"/>
                <w:highlight w:val="none"/>
                <w:lang w:eastAsia="zh-CN"/>
              </w:rPr>
              <w:t>客户端编制完响应文件后，使用企业CA数字证书对响应文件进行加密，生成加密后的响应文件，在</w:t>
            </w:r>
            <w:r>
              <w:rPr>
                <w:rFonts w:hint="eastAsia" w:ascii="仿宋" w:hAnsi="仿宋" w:eastAsia="仿宋" w:cs="仿宋"/>
                <w:color w:val="auto"/>
                <w:sz w:val="24"/>
                <w:szCs w:val="24"/>
                <w:highlight w:val="none"/>
                <w:lang w:val="en-US" w:eastAsia="zh-CN"/>
              </w:rPr>
              <w:t>谈判</w:t>
            </w:r>
            <w:r>
              <w:rPr>
                <w:rFonts w:hint="eastAsia" w:ascii="仿宋" w:hAnsi="仿宋" w:eastAsia="仿宋" w:cs="仿宋"/>
                <w:color w:val="auto"/>
                <w:sz w:val="24"/>
                <w:szCs w:val="24"/>
                <w:highlight w:val="none"/>
                <w:lang w:eastAsia="zh-CN"/>
              </w:rPr>
              <w:t>时再行解密。（加密、解密必须使用同一CA数字证书）</w:t>
            </w:r>
          </w:p>
          <w:p w14:paraId="3BDD6B00">
            <w:pPr>
              <w:snapToGrid w:val="0"/>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szCs w:val="24"/>
                <w:highlight w:val="none"/>
                <w:lang w:eastAsia="zh-CN"/>
              </w:rPr>
              <w:t>（注：</w:t>
            </w:r>
            <w:r>
              <w:rPr>
                <w:rFonts w:hint="eastAsia" w:ascii="仿宋" w:hAnsi="仿宋" w:eastAsia="仿宋" w:cs="仿宋"/>
                <w:color w:val="auto"/>
                <w:sz w:val="24"/>
                <w:szCs w:val="24"/>
                <w:highlight w:val="none"/>
                <w:lang w:val="en-US" w:eastAsia="zh-CN"/>
              </w:rPr>
              <w:t>供应商解密时长见系统规定时间</w:t>
            </w:r>
            <w:r>
              <w:rPr>
                <w:rFonts w:hint="eastAsia" w:ascii="仿宋" w:hAnsi="仿宋" w:eastAsia="仿宋" w:cs="仿宋"/>
                <w:color w:val="auto"/>
                <w:sz w:val="24"/>
                <w:szCs w:val="24"/>
                <w:highlight w:val="none"/>
                <w:lang w:eastAsia="zh-CN"/>
              </w:rPr>
              <w:t>）</w:t>
            </w:r>
          </w:p>
        </w:tc>
      </w:tr>
      <w:tr w14:paraId="1842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F169ABB">
            <w:pPr>
              <w:snapToGrid w:val="0"/>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7</w:t>
            </w:r>
          </w:p>
        </w:tc>
        <w:tc>
          <w:tcPr>
            <w:tcW w:w="1701" w:type="dxa"/>
            <w:gridSpan w:val="2"/>
            <w:noWrap w:val="0"/>
            <w:vAlign w:val="center"/>
          </w:tcPr>
          <w:p w14:paraId="52768968">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递交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时间、地点</w:t>
            </w:r>
          </w:p>
        </w:tc>
        <w:tc>
          <w:tcPr>
            <w:tcW w:w="6948" w:type="dxa"/>
            <w:noWrap w:val="0"/>
            <w:vAlign w:val="center"/>
          </w:tcPr>
          <w:p w14:paraId="53564D4A">
            <w:pPr>
              <w:snapToGrid w:val="0"/>
              <w:spacing w:line="360" w:lineRule="auto"/>
              <w:jc w:val="left"/>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szCs w:val="24"/>
                <w:highlight w:val="none"/>
              </w:rPr>
              <w:t>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val="en-US" w:eastAsia="zh-CN"/>
              </w:rPr>
              <w:t>谈判</w:t>
            </w:r>
            <w:r>
              <w:rPr>
                <w:rFonts w:hint="eastAsia" w:ascii="仿宋" w:hAnsi="仿宋" w:eastAsia="仿宋" w:cs="仿宋"/>
                <w:color w:val="auto"/>
                <w:sz w:val="24"/>
                <w:szCs w:val="24"/>
                <w:highlight w:val="none"/>
              </w:rPr>
              <w:t>截止时间前，</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登陆</w:t>
            </w:r>
            <w:r>
              <w:rPr>
                <w:rFonts w:hint="eastAsia" w:ascii="仿宋" w:hAnsi="仿宋" w:eastAsia="仿宋" w:cs="仿宋"/>
                <w:color w:val="auto"/>
                <w:sz w:val="24"/>
                <w:szCs w:val="24"/>
                <w:highlight w:val="none"/>
                <w:lang w:val="en-US" w:eastAsia="zh-CN"/>
              </w:rPr>
              <w:t>山西省政府采购网</w:t>
            </w:r>
            <w:r>
              <w:rPr>
                <w:rFonts w:hint="eastAsia" w:ascii="仿宋" w:hAnsi="仿宋" w:eastAsia="仿宋" w:cs="仿宋"/>
                <w:color w:val="auto"/>
                <w:sz w:val="24"/>
                <w:szCs w:val="24"/>
                <w:highlight w:val="none"/>
              </w:rPr>
              <w:t>，电子响应文件按照“政采云”系统要求，逐条上传；</w:t>
            </w:r>
          </w:p>
        </w:tc>
      </w:tr>
      <w:tr w14:paraId="289A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13" w:type="dxa"/>
            <w:noWrap w:val="0"/>
            <w:vAlign w:val="center"/>
          </w:tcPr>
          <w:p w14:paraId="4FC1DF17">
            <w:pPr>
              <w:snapToGrid w:val="0"/>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8</w:t>
            </w:r>
          </w:p>
        </w:tc>
        <w:tc>
          <w:tcPr>
            <w:tcW w:w="1701" w:type="dxa"/>
            <w:gridSpan w:val="2"/>
            <w:noWrap w:val="0"/>
            <w:vAlign w:val="center"/>
          </w:tcPr>
          <w:p w14:paraId="3541655B">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谈判时间及地点</w:t>
            </w:r>
          </w:p>
        </w:tc>
        <w:tc>
          <w:tcPr>
            <w:tcW w:w="6948" w:type="dxa"/>
            <w:noWrap w:val="0"/>
            <w:vAlign w:val="center"/>
          </w:tcPr>
          <w:p w14:paraId="34E97705">
            <w:pPr>
              <w:widowControl/>
              <w:snapToGrid w:val="0"/>
              <w:spacing w:line="460" w:lineRule="exact"/>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时间：同谈判公告</w:t>
            </w:r>
          </w:p>
          <w:p w14:paraId="4C54AB01">
            <w:pPr>
              <w:widowControl/>
              <w:snapToGrid w:val="0"/>
              <w:spacing w:line="460" w:lineRule="exact"/>
              <w:jc w:val="both"/>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地点：同谈判公告</w:t>
            </w:r>
          </w:p>
        </w:tc>
      </w:tr>
      <w:tr w14:paraId="150F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3DEE95CC">
            <w:pPr>
              <w:snapToGrid w:val="0"/>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19</w:t>
            </w:r>
          </w:p>
        </w:tc>
        <w:tc>
          <w:tcPr>
            <w:tcW w:w="1701" w:type="dxa"/>
            <w:gridSpan w:val="2"/>
            <w:noWrap w:val="0"/>
            <w:vAlign w:val="center"/>
          </w:tcPr>
          <w:p w14:paraId="0DE0BAC4">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谈判方式</w:t>
            </w:r>
          </w:p>
        </w:tc>
        <w:tc>
          <w:tcPr>
            <w:tcW w:w="6948" w:type="dxa"/>
            <w:noWrap w:val="0"/>
            <w:vAlign w:val="center"/>
          </w:tcPr>
          <w:p w14:paraId="4185376A">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一轮谈判，</w:t>
            </w:r>
            <w:r>
              <w:rPr>
                <w:rFonts w:hint="eastAsia" w:ascii="仿宋" w:hAnsi="仿宋" w:eastAsia="仿宋" w:cs="仿宋"/>
                <w:color w:val="auto"/>
                <w:sz w:val="24"/>
                <w:szCs w:val="24"/>
                <w:highlight w:val="none"/>
                <w:lang w:val="en-US" w:eastAsia="zh-CN"/>
              </w:rPr>
              <w:t>二轮</w:t>
            </w:r>
            <w:r>
              <w:rPr>
                <w:rFonts w:hint="eastAsia" w:ascii="仿宋" w:hAnsi="仿宋" w:eastAsia="仿宋" w:cs="仿宋"/>
                <w:color w:val="auto"/>
                <w:sz w:val="24"/>
                <w:szCs w:val="24"/>
                <w:highlight w:val="none"/>
              </w:rPr>
              <w:t>报价。</w:t>
            </w:r>
          </w:p>
        </w:tc>
      </w:tr>
      <w:tr w14:paraId="0C3E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713" w:type="dxa"/>
            <w:noWrap w:val="0"/>
            <w:vAlign w:val="center"/>
          </w:tcPr>
          <w:p w14:paraId="30CC5A3C">
            <w:pPr>
              <w:snapToGrid w:val="0"/>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0</w:t>
            </w:r>
          </w:p>
        </w:tc>
        <w:tc>
          <w:tcPr>
            <w:tcW w:w="1701" w:type="dxa"/>
            <w:gridSpan w:val="2"/>
            <w:noWrap w:val="0"/>
            <w:vAlign w:val="center"/>
          </w:tcPr>
          <w:p w14:paraId="1699BE25">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谈判小组组建</w:t>
            </w:r>
          </w:p>
        </w:tc>
        <w:tc>
          <w:tcPr>
            <w:tcW w:w="6948" w:type="dxa"/>
            <w:noWrap w:val="0"/>
            <w:vAlign w:val="center"/>
          </w:tcPr>
          <w:p w14:paraId="2AE9308F">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本项目谈判小组共3人：</w:t>
            </w:r>
          </w:p>
          <w:p w14:paraId="5B056BEF">
            <w:pPr>
              <w:snapToGrid w:val="0"/>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其中采购人代表1人，</w:t>
            </w:r>
            <w:r>
              <w:rPr>
                <w:rFonts w:hint="eastAsia" w:ascii="仿宋" w:hAnsi="仿宋" w:eastAsia="仿宋" w:cs="仿宋"/>
                <w:color w:val="auto"/>
                <w:sz w:val="24"/>
                <w:szCs w:val="24"/>
                <w:highlight w:val="none"/>
                <w:lang w:val="en-US" w:eastAsia="zh-CN"/>
              </w:rPr>
              <w:t>经济、技术</w:t>
            </w:r>
            <w:r>
              <w:rPr>
                <w:rFonts w:hint="eastAsia" w:ascii="仿宋" w:hAnsi="仿宋" w:eastAsia="仿宋" w:cs="仿宋"/>
                <w:color w:val="auto"/>
                <w:sz w:val="24"/>
                <w:szCs w:val="24"/>
                <w:highlight w:val="none"/>
              </w:rPr>
              <w:t>专家2人</w:t>
            </w:r>
            <w:r>
              <w:rPr>
                <w:rFonts w:hint="eastAsia" w:ascii="仿宋" w:hAnsi="仿宋" w:eastAsia="仿宋" w:cs="仿宋"/>
                <w:color w:val="auto"/>
                <w:sz w:val="24"/>
                <w:szCs w:val="24"/>
                <w:highlight w:val="none"/>
                <w:lang w:eastAsia="zh-CN"/>
              </w:rPr>
              <w:t>，评审专家从山西省政府采购评标专家库中随机抽取产生。</w:t>
            </w:r>
          </w:p>
        </w:tc>
      </w:tr>
      <w:tr w14:paraId="55F2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13" w:type="dxa"/>
            <w:noWrap w:val="0"/>
            <w:vAlign w:val="center"/>
          </w:tcPr>
          <w:p w14:paraId="6D72477B">
            <w:pPr>
              <w:snapToGrid w:val="0"/>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p>
        </w:tc>
        <w:tc>
          <w:tcPr>
            <w:tcW w:w="1701" w:type="dxa"/>
            <w:gridSpan w:val="2"/>
            <w:noWrap w:val="0"/>
            <w:vAlign w:val="center"/>
          </w:tcPr>
          <w:p w14:paraId="1FADC3D7">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是否授权谈判小组确定成交供应商</w:t>
            </w:r>
          </w:p>
        </w:tc>
        <w:tc>
          <w:tcPr>
            <w:tcW w:w="6948" w:type="dxa"/>
            <w:noWrap w:val="0"/>
            <w:vAlign w:val="center"/>
          </w:tcPr>
          <w:p w14:paraId="75EE3775">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w:t>
            </w:r>
          </w:p>
        </w:tc>
      </w:tr>
      <w:tr w14:paraId="392C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13" w:type="dxa"/>
            <w:noWrap w:val="0"/>
            <w:vAlign w:val="center"/>
          </w:tcPr>
          <w:p w14:paraId="1E5706FA">
            <w:pPr>
              <w:snapToGrid w:val="0"/>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p>
        </w:tc>
        <w:tc>
          <w:tcPr>
            <w:tcW w:w="1701" w:type="dxa"/>
            <w:gridSpan w:val="2"/>
            <w:noWrap w:val="0"/>
            <w:vAlign w:val="center"/>
          </w:tcPr>
          <w:p w14:paraId="14392478">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代理服务费</w:t>
            </w:r>
          </w:p>
        </w:tc>
        <w:tc>
          <w:tcPr>
            <w:tcW w:w="6948" w:type="dxa"/>
            <w:noWrap w:val="0"/>
            <w:vAlign w:val="center"/>
          </w:tcPr>
          <w:p w14:paraId="00C31A12">
            <w:pPr>
              <w:snapToGrid w:val="0"/>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在领取成交通知书时一次性支付代理服务费。</w:t>
            </w:r>
          </w:p>
          <w:p w14:paraId="31C3D488">
            <w:pPr>
              <w:snapToGrid w:val="0"/>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参照国家发展和改革委员会的《招标代理服务费收费标准》（计价格[2002]1980号文和国家发展改革委办公厅关于招标代理服务收费有关问题的通知（发改办价格[2003]857号）及国家发展和改革委员会文件发改价格[2011]534号文件规定收费标准的90%支付。</w:t>
            </w:r>
          </w:p>
        </w:tc>
      </w:tr>
      <w:tr w14:paraId="4392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13" w:type="dxa"/>
            <w:vMerge w:val="restart"/>
            <w:noWrap w:val="0"/>
            <w:vAlign w:val="center"/>
          </w:tcPr>
          <w:p w14:paraId="36BEA045">
            <w:pPr>
              <w:snapToGrid w:val="0"/>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850" w:type="dxa"/>
            <w:vMerge w:val="restart"/>
            <w:noWrap w:val="0"/>
            <w:vAlign w:val="center"/>
          </w:tcPr>
          <w:p w14:paraId="25EF6D73">
            <w:pPr>
              <w:ind w:firstLine="0" w:firstLineChars="0"/>
              <w:jc w:val="center"/>
              <w:rPr>
                <w:rStyle w:val="34"/>
                <w:rFonts w:hint="eastAsia" w:ascii="仿宋" w:hAnsi="仿宋" w:eastAsia="仿宋" w:cs="仿宋"/>
                <w:sz w:val="24"/>
                <w:szCs w:val="24"/>
                <w:highlight w:val="none"/>
              </w:rPr>
            </w:pPr>
            <w:r>
              <w:rPr>
                <w:rStyle w:val="34"/>
                <w:rFonts w:hint="eastAsia" w:ascii="仿宋" w:hAnsi="仿宋" w:eastAsia="仿宋" w:cs="仿宋"/>
                <w:sz w:val="24"/>
                <w:szCs w:val="24"/>
                <w:highlight w:val="none"/>
              </w:rPr>
              <w:t>政府采购</w:t>
            </w:r>
          </w:p>
          <w:p w14:paraId="34AE4ECE">
            <w:pPr>
              <w:snapToGrid w:val="0"/>
              <w:spacing w:line="360" w:lineRule="auto"/>
              <w:jc w:val="center"/>
              <w:rPr>
                <w:rFonts w:hint="eastAsia" w:ascii="仿宋" w:hAnsi="仿宋" w:eastAsia="仿宋" w:cs="仿宋"/>
                <w:color w:val="auto"/>
                <w:sz w:val="24"/>
                <w:szCs w:val="24"/>
                <w:highlight w:val="none"/>
              </w:rPr>
            </w:pPr>
            <w:r>
              <w:rPr>
                <w:rStyle w:val="34"/>
                <w:rFonts w:hint="eastAsia" w:ascii="仿宋" w:hAnsi="仿宋" w:eastAsia="仿宋" w:cs="仿宋"/>
                <w:sz w:val="24"/>
                <w:szCs w:val="24"/>
                <w:highlight w:val="none"/>
              </w:rPr>
              <w:t>政策要求</w:t>
            </w:r>
          </w:p>
        </w:tc>
        <w:tc>
          <w:tcPr>
            <w:tcW w:w="851" w:type="dxa"/>
            <w:vMerge w:val="restart"/>
            <w:noWrap w:val="0"/>
            <w:vAlign w:val="center"/>
          </w:tcPr>
          <w:p w14:paraId="21F3BBFA">
            <w:pPr>
              <w:ind w:firstLine="0" w:firstLineChars="0"/>
              <w:jc w:val="center"/>
              <w:rPr>
                <w:rStyle w:val="34"/>
                <w:rFonts w:hint="eastAsia" w:ascii="仿宋" w:hAnsi="仿宋" w:eastAsia="仿宋" w:cs="仿宋"/>
                <w:sz w:val="24"/>
                <w:szCs w:val="24"/>
                <w:highlight w:val="none"/>
              </w:rPr>
            </w:pPr>
            <w:r>
              <w:rPr>
                <w:rStyle w:val="34"/>
                <w:rFonts w:hint="eastAsia" w:ascii="仿宋" w:hAnsi="仿宋" w:eastAsia="仿宋" w:cs="仿宋"/>
                <w:sz w:val="24"/>
                <w:szCs w:val="24"/>
                <w:highlight w:val="none"/>
              </w:rPr>
              <w:t>节能</w:t>
            </w:r>
          </w:p>
          <w:p w14:paraId="06B0BF31">
            <w:pPr>
              <w:ind w:firstLine="0" w:firstLineChars="0"/>
              <w:jc w:val="center"/>
              <w:rPr>
                <w:rFonts w:hint="eastAsia" w:ascii="仿宋" w:hAnsi="仿宋" w:eastAsia="仿宋" w:cs="仿宋"/>
                <w:color w:val="auto"/>
                <w:sz w:val="24"/>
                <w:szCs w:val="24"/>
                <w:highlight w:val="none"/>
              </w:rPr>
            </w:pPr>
            <w:r>
              <w:rPr>
                <w:rStyle w:val="34"/>
                <w:rFonts w:hint="eastAsia" w:ascii="仿宋" w:hAnsi="仿宋" w:eastAsia="仿宋" w:cs="仿宋"/>
                <w:sz w:val="24"/>
                <w:szCs w:val="24"/>
                <w:highlight w:val="none"/>
              </w:rPr>
              <w:t>产品</w:t>
            </w:r>
          </w:p>
        </w:tc>
        <w:tc>
          <w:tcPr>
            <w:tcW w:w="6948" w:type="dxa"/>
            <w:noWrap w:val="0"/>
            <w:vAlign w:val="center"/>
          </w:tcPr>
          <w:p w14:paraId="0C674E66">
            <w:pPr>
              <w:tabs>
                <w:tab w:val="left" w:pos="567"/>
              </w:tabs>
              <w:snapToGrid w:val="0"/>
              <w:spacing w:line="360" w:lineRule="auto"/>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kern w:val="0"/>
                <w:sz w:val="24"/>
                <w:szCs w:val="24"/>
                <w:highlight w:val="none"/>
              </w:rPr>
              <w:t>凡涉及最新公布的《节能产品政府采购品目清单》（财库〔2019〕19号）标注“★”的政府强制采购节能产品，</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须提供所投产品国家确定的认证机构出具的、处于有效期之内的节能产品认证证书。</w:t>
            </w:r>
          </w:p>
        </w:tc>
      </w:tr>
      <w:tr w14:paraId="3ECB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13" w:type="dxa"/>
            <w:vMerge w:val="continue"/>
            <w:noWrap w:val="0"/>
            <w:vAlign w:val="center"/>
          </w:tcPr>
          <w:p w14:paraId="4431B36C">
            <w:pPr>
              <w:snapToGrid w:val="0"/>
              <w:spacing w:line="360" w:lineRule="auto"/>
              <w:jc w:val="left"/>
              <w:rPr>
                <w:sz w:val="24"/>
                <w:szCs w:val="24"/>
                <w:highlight w:val="none"/>
              </w:rPr>
            </w:pPr>
          </w:p>
        </w:tc>
        <w:tc>
          <w:tcPr>
            <w:tcW w:w="850" w:type="dxa"/>
            <w:vMerge w:val="continue"/>
            <w:noWrap w:val="0"/>
            <w:vAlign w:val="center"/>
          </w:tcPr>
          <w:p w14:paraId="44099F6E">
            <w:pPr>
              <w:snapToGrid w:val="0"/>
              <w:spacing w:line="360" w:lineRule="auto"/>
              <w:jc w:val="left"/>
              <w:rPr>
                <w:sz w:val="24"/>
                <w:szCs w:val="24"/>
                <w:highlight w:val="none"/>
              </w:rPr>
            </w:pPr>
          </w:p>
        </w:tc>
        <w:tc>
          <w:tcPr>
            <w:tcW w:w="851" w:type="dxa"/>
            <w:vMerge w:val="continue"/>
            <w:noWrap w:val="0"/>
            <w:vAlign w:val="center"/>
          </w:tcPr>
          <w:p w14:paraId="5944267E">
            <w:pPr>
              <w:ind w:firstLine="0" w:firstLineChars="0"/>
              <w:jc w:val="center"/>
              <w:rPr>
                <w:sz w:val="24"/>
                <w:szCs w:val="24"/>
                <w:highlight w:val="none"/>
              </w:rPr>
            </w:pPr>
          </w:p>
        </w:tc>
        <w:tc>
          <w:tcPr>
            <w:tcW w:w="6948" w:type="dxa"/>
            <w:noWrap w:val="0"/>
            <w:vAlign w:val="center"/>
          </w:tcPr>
          <w:p w14:paraId="2D87007F">
            <w:pPr>
              <w:tabs>
                <w:tab w:val="left" w:pos="567"/>
              </w:tabs>
              <w:snapToGrid w:val="0"/>
              <w:spacing w:line="360" w:lineRule="auto"/>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kern w:val="0"/>
                <w:sz w:val="24"/>
                <w:szCs w:val="24"/>
                <w:highlight w:val="none"/>
              </w:rPr>
              <w:t>投报《节能产品政府采购品目清单》中强制性采购产品以外的其它节能产品，且提供所投产品获得国家确定的认证机构出具的、处于有效期之内的节能产品认证证书的，给予其</w:t>
            </w:r>
            <w:r>
              <w:rPr>
                <w:rFonts w:hint="eastAsia" w:ascii="仿宋" w:hAnsi="仿宋" w:eastAsia="仿宋" w:cs="仿宋"/>
                <w:kern w:val="0"/>
                <w:sz w:val="24"/>
                <w:szCs w:val="24"/>
                <w:highlight w:val="none"/>
                <w:lang w:val="en-US" w:eastAsia="zh-CN"/>
              </w:rPr>
              <w:t>4</w:t>
            </w:r>
            <w:r>
              <w:rPr>
                <w:rFonts w:hint="eastAsia" w:ascii="仿宋" w:hAnsi="仿宋" w:eastAsia="仿宋" w:cs="仿宋"/>
                <w:kern w:val="0"/>
                <w:sz w:val="24"/>
                <w:szCs w:val="24"/>
                <w:highlight w:val="none"/>
              </w:rPr>
              <w:t>%的价格扣除,用扣除后的价格参与评审。</w:t>
            </w:r>
          </w:p>
        </w:tc>
      </w:tr>
      <w:tr w14:paraId="0233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05417CAC">
            <w:pPr>
              <w:snapToGrid w:val="0"/>
              <w:spacing w:line="360" w:lineRule="auto"/>
              <w:jc w:val="center"/>
              <w:rPr>
                <w:sz w:val="24"/>
                <w:szCs w:val="24"/>
                <w:highlight w:val="none"/>
              </w:rPr>
            </w:pPr>
          </w:p>
        </w:tc>
        <w:tc>
          <w:tcPr>
            <w:tcW w:w="850" w:type="dxa"/>
            <w:vMerge w:val="continue"/>
            <w:noWrap w:val="0"/>
            <w:vAlign w:val="center"/>
          </w:tcPr>
          <w:p w14:paraId="1679642A">
            <w:pPr>
              <w:snapToGrid w:val="0"/>
              <w:spacing w:line="360" w:lineRule="auto"/>
              <w:jc w:val="center"/>
              <w:rPr>
                <w:sz w:val="24"/>
                <w:szCs w:val="24"/>
                <w:highlight w:val="none"/>
              </w:rPr>
            </w:pPr>
          </w:p>
        </w:tc>
        <w:tc>
          <w:tcPr>
            <w:tcW w:w="851" w:type="dxa"/>
            <w:noWrap w:val="0"/>
            <w:vAlign w:val="center"/>
          </w:tcPr>
          <w:p w14:paraId="22BD09BB">
            <w:pPr>
              <w:ind w:firstLine="0" w:firstLineChars="0"/>
              <w:jc w:val="center"/>
              <w:rPr>
                <w:rFonts w:hint="eastAsia" w:ascii="仿宋" w:hAnsi="仿宋" w:eastAsia="仿宋" w:cs="仿宋"/>
                <w:color w:val="auto"/>
                <w:sz w:val="24"/>
                <w:szCs w:val="24"/>
                <w:highlight w:val="none"/>
              </w:rPr>
            </w:pPr>
            <w:r>
              <w:rPr>
                <w:rStyle w:val="34"/>
                <w:rFonts w:hint="eastAsia" w:ascii="仿宋" w:hAnsi="仿宋" w:eastAsia="仿宋" w:cs="仿宋"/>
                <w:sz w:val="24"/>
                <w:szCs w:val="24"/>
                <w:highlight w:val="none"/>
              </w:rPr>
              <w:t>环境标志产品</w:t>
            </w:r>
          </w:p>
        </w:tc>
        <w:tc>
          <w:tcPr>
            <w:tcW w:w="6948" w:type="dxa"/>
            <w:noWrap w:val="0"/>
            <w:vAlign w:val="center"/>
          </w:tcPr>
          <w:p w14:paraId="49B632F7">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投报《环境标志产品政府采购品目清单》（财库〔2019〕18号）中的产品，且提供所投产品获得国家确定的认证机构出具的、处于有效期之内的环境标志产品认证证书的，给予其</w:t>
            </w:r>
            <w:r>
              <w:rPr>
                <w:rFonts w:hint="eastAsia" w:ascii="仿宋" w:hAnsi="仿宋" w:eastAsia="仿宋" w:cs="仿宋"/>
                <w:kern w:val="0"/>
                <w:sz w:val="24"/>
                <w:szCs w:val="24"/>
                <w:highlight w:val="none"/>
                <w:lang w:val="en-US" w:eastAsia="zh-CN"/>
              </w:rPr>
              <w:t>4</w:t>
            </w:r>
            <w:r>
              <w:rPr>
                <w:rFonts w:hint="eastAsia" w:ascii="仿宋" w:hAnsi="仿宋" w:eastAsia="仿宋" w:cs="仿宋"/>
                <w:kern w:val="0"/>
                <w:sz w:val="24"/>
                <w:szCs w:val="24"/>
                <w:highlight w:val="none"/>
              </w:rPr>
              <w:t>%的价格扣除,用扣除后的价格参与评审。</w:t>
            </w:r>
          </w:p>
        </w:tc>
      </w:tr>
      <w:tr w14:paraId="4056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5EDE29BA">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4D83A810">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216C8BFB">
            <w:pPr>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正版软件要求</w:t>
            </w:r>
          </w:p>
        </w:tc>
        <w:tc>
          <w:tcPr>
            <w:tcW w:w="6948" w:type="dxa"/>
            <w:noWrap w:val="0"/>
            <w:vAlign w:val="center"/>
          </w:tcPr>
          <w:p w14:paraId="70B11297">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采购项目中如含有计算机，必须预装正版操作系统软件产品，所采购的其它软件必须为正版软件。</w:t>
            </w:r>
          </w:p>
        </w:tc>
      </w:tr>
      <w:tr w14:paraId="4E14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0CF673EE">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566E8697">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38387EDA">
            <w:pPr>
              <w:ind w:firstLine="0" w:firstLineChars="0"/>
              <w:jc w:val="center"/>
              <w:rPr>
                <w:rFonts w:hint="eastAsia" w:ascii="仿宋" w:hAnsi="仿宋" w:eastAsia="仿宋" w:cs="仿宋"/>
                <w:color w:val="auto"/>
                <w:sz w:val="24"/>
                <w:szCs w:val="24"/>
                <w:highlight w:val="none"/>
              </w:rPr>
            </w:pPr>
            <w:r>
              <w:rPr>
                <w:rStyle w:val="34"/>
                <w:rFonts w:hint="eastAsia" w:ascii="仿宋" w:hAnsi="仿宋" w:eastAsia="仿宋" w:cs="仿宋"/>
                <w:sz w:val="24"/>
                <w:szCs w:val="24"/>
                <w:highlight w:val="none"/>
              </w:rPr>
              <w:t>信息安全产品</w:t>
            </w:r>
          </w:p>
        </w:tc>
        <w:tc>
          <w:tcPr>
            <w:tcW w:w="6948" w:type="dxa"/>
            <w:noWrap w:val="0"/>
            <w:vAlign w:val="center"/>
          </w:tcPr>
          <w:p w14:paraId="6D2E0BEE">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货物涉及《信息安全产品强制性认证目录》中的产品（8类13项），</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须提供中国信息安全认证中心按国家标准认证颁发的有效认证证书。</w:t>
            </w:r>
          </w:p>
        </w:tc>
      </w:tr>
      <w:tr w14:paraId="0B41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530AD787">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20BE327B">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7B3514B3">
            <w:pPr>
              <w:ind w:firstLine="0" w:firstLineChars="0"/>
              <w:jc w:val="center"/>
              <w:rPr>
                <w:rFonts w:hint="eastAsia" w:ascii="仿宋" w:hAnsi="仿宋" w:eastAsia="仿宋" w:cs="仿宋"/>
                <w:color w:val="auto"/>
                <w:sz w:val="24"/>
                <w:szCs w:val="24"/>
                <w:highlight w:val="none"/>
              </w:rPr>
            </w:pPr>
            <w:r>
              <w:rPr>
                <w:rStyle w:val="34"/>
                <w:rFonts w:hint="eastAsia" w:ascii="仿宋" w:hAnsi="仿宋" w:eastAsia="仿宋" w:cs="仿宋"/>
                <w:sz w:val="24"/>
                <w:szCs w:val="24"/>
                <w:highlight w:val="none"/>
              </w:rPr>
              <w:t>商品包装和快递包装</w:t>
            </w:r>
          </w:p>
        </w:tc>
        <w:tc>
          <w:tcPr>
            <w:tcW w:w="6948" w:type="dxa"/>
            <w:noWrap w:val="0"/>
            <w:vAlign w:val="center"/>
          </w:tcPr>
          <w:p w14:paraId="75A1F7CD">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本文件列出商品包装和快递包装要求的，</w:t>
            </w:r>
            <w:r>
              <w:rPr>
                <w:rFonts w:hint="eastAsia" w:ascii="仿宋" w:hAnsi="仿宋" w:eastAsia="仿宋" w:cs="仿宋"/>
                <w:kern w:val="0"/>
                <w:sz w:val="24"/>
                <w:szCs w:val="24"/>
                <w:highlight w:val="none"/>
                <w:lang w:val="en-US" w:eastAsia="zh-CN"/>
              </w:rPr>
              <w:t>供应商</w:t>
            </w:r>
            <w:r>
              <w:rPr>
                <w:rFonts w:hint="eastAsia" w:ascii="仿宋" w:hAnsi="仿宋" w:eastAsia="仿宋" w:cs="仿宋"/>
                <w:kern w:val="0"/>
                <w:sz w:val="24"/>
                <w:szCs w:val="24"/>
                <w:highlight w:val="none"/>
              </w:rPr>
              <w:t>需填写商品包装和快递包装承诺函，承诺商品包装符合《商品包装政府采购需求标准（试行）》，快递包装符合《快递包装政府采购需求标准（试行）》。</w:t>
            </w:r>
          </w:p>
        </w:tc>
      </w:tr>
      <w:tr w14:paraId="0124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69243125">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56EABC1C">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13F13CFD">
            <w:pPr>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创新产品或创新服务</w:t>
            </w:r>
          </w:p>
        </w:tc>
        <w:tc>
          <w:tcPr>
            <w:tcW w:w="6948" w:type="dxa"/>
            <w:noWrap w:val="0"/>
            <w:vAlign w:val="center"/>
          </w:tcPr>
          <w:p w14:paraId="06DA832E">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提供的服务属于《山西省创新产品和服务推荐清单》中创新产品或创新服务的，在评审时，其报价享受</w:t>
            </w:r>
            <w:r>
              <w:rPr>
                <w:rFonts w:hint="eastAsia" w:ascii="仿宋" w:hAnsi="仿宋" w:eastAsia="仿宋" w:cs="仿宋"/>
                <w:kern w:val="0"/>
                <w:sz w:val="24"/>
                <w:szCs w:val="24"/>
                <w:highlight w:val="none"/>
                <w:lang w:val="en-US" w:eastAsia="zh-CN"/>
              </w:rPr>
              <w:t>6</w:t>
            </w:r>
            <w:r>
              <w:rPr>
                <w:rFonts w:hint="eastAsia" w:ascii="仿宋" w:hAnsi="仿宋" w:eastAsia="仿宋" w:cs="仿宋"/>
                <w:kern w:val="0"/>
                <w:sz w:val="24"/>
                <w:szCs w:val="24"/>
                <w:highlight w:val="none"/>
              </w:rPr>
              <w:t>%的价格折扣，以折扣后的价格参与评审。</w:t>
            </w:r>
          </w:p>
          <w:p w14:paraId="39FB0A85">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提供创新服务的，应在</w:t>
            </w:r>
            <w:r>
              <w:rPr>
                <w:rFonts w:hint="eastAsia" w:ascii="仿宋" w:hAnsi="仿宋" w:eastAsia="仿宋" w:cs="仿宋"/>
                <w:kern w:val="0"/>
                <w:sz w:val="24"/>
                <w:szCs w:val="24"/>
                <w:highlight w:val="none"/>
                <w:lang w:eastAsia="zh-CN"/>
              </w:rPr>
              <w:t>响应文件</w:t>
            </w:r>
            <w:r>
              <w:rPr>
                <w:rFonts w:hint="eastAsia" w:ascii="仿宋" w:hAnsi="仿宋" w:eastAsia="仿宋" w:cs="仿宋"/>
                <w:kern w:val="0"/>
                <w:sz w:val="24"/>
                <w:szCs w:val="24"/>
                <w:highlight w:val="none"/>
              </w:rPr>
              <w:t>中填写《创新服务明细表》，并提供《山西省创新产品和服务推荐清单》。</w:t>
            </w:r>
          </w:p>
          <w:p w14:paraId="1B9258A0">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创新服务的价格折扣政策可与其他政府采购政策叠加。</w:t>
            </w:r>
          </w:p>
        </w:tc>
      </w:tr>
      <w:tr w14:paraId="37CF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3" w:type="dxa"/>
            <w:vMerge w:val="continue"/>
            <w:noWrap w:val="0"/>
            <w:vAlign w:val="center"/>
          </w:tcPr>
          <w:p w14:paraId="34F461DB">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6CC0C768">
            <w:pPr>
              <w:snapToGrid w:val="0"/>
              <w:spacing w:line="360" w:lineRule="auto"/>
              <w:jc w:val="center"/>
              <w:rPr>
                <w:rFonts w:hint="eastAsia" w:ascii="仿宋" w:hAnsi="仿宋" w:eastAsia="仿宋" w:cs="仿宋"/>
                <w:color w:val="auto"/>
                <w:sz w:val="24"/>
                <w:szCs w:val="24"/>
                <w:highlight w:val="none"/>
              </w:rPr>
            </w:pPr>
          </w:p>
        </w:tc>
        <w:tc>
          <w:tcPr>
            <w:tcW w:w="851" w:type="dxa"/>
            <w:vMerge w:val="restart"/>
            <w:noWrap w:val="0"/>
            <w:vAlign w:val="center"/>
          </w:tcPr>
          <w:p w14:paraId="53ADE7E7">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中小</w:t>
            </w:r>
          </w:p>
          <w:p w14:paraId="49DD80C7">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企业</w:t>
            </w:r>
          </w:p>
        </w:tc>
        <w:tc>
          <w:tcPr>
            <w:tcW w:w="6948" w:type="dxa"/>
            <w:noWrap w:val="0"/>
            <w:vAlign w:val="center"/>
          </w:tcPr>
          <w:p w14:paraId="56BD6C95">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本项目</w:t>
            </w:r>
            <w:r>
              <w:rPr>
                <w:rFonts w:hint="eastAsia" w:ascii="仿宋" w:hAnsi="仿宋" w:eastAsia="仿宋" w:cs="仿宋"/>
                <w:kern w:val="0"/>
                <w:sz w:val="24"/>
                <w:szCs w:val="24"/>
                <w:highlight w:val="none"/>
                <w:lang w:eastAsia="zh-CN"/>
              </w:rPr>
              <w:t>是</w:t>
            </w:r>
            <w:r>
              <w:rPr>
                <w:rFonts w:hint="eastAsia" w:ascii="仿宋" w:hAnsi="仿宋" w:eastAsia="仿宋" w:cs="仿宋"/>
                <w:kern w:val="0"/>
                <w:sz w:val="24"/>
                <w:szCs w:val="24"/>
                <w:highlight w:val="none"/>
                <w:lang w:val="en-US" w:eastAsia="zh-CN"/>
              </w:rPr>
              <w:t xml:space="preserve">否面向中小企业 </w:t>
            </w:r>
            <w:r>
              <w:rPr>
                <w:rFonts w:hint="eastAsia" w:ascii="仿宋" w:hAnsi="仿宋" w:eastAsia="仿宋" w:cs="仿宋"/>
                <w:kern w:val="0"/>
                <w:sz w:val="24"/>
                <w:szCs w:val="24"/>
                <w:highlight w:val="none"/>
              </w:rPr>
              <w:t xml:space="preserve">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是 </w:t>
            </w:r>
            <w:r>
              <w:rPr>
                <w:rFonts w:hint="eastAsia" w:ascii="仿宋" w:hAnsi="仿宋" w:eastAsia="仿宋" w:cs="仿宋"/>
                <w:kern w:val="0"/>
                <w:sz w:val="24"/>
                <w:szCs w:val="24"/>
                <w:highlight w:val="none"/>
              </w:rPr>
              <w:sym w:font="Wingdings" w:char="00FE"/>
            </w:r>
            <w:r>
              <w:rPr>
                <w:rFonts w:hint="eastAsia" w:ascii="仿宋" w:hAnsi="仿宋" w:eastAsia="仿宋" w:cs="仿宋"/>
                <w:kern w:val="0"/>
                <w:sz w:val="24"/>
                <w:szCs w:val="24"/>
                <w:highlight w:val="none"/>
              </w:rPr>
              <w:t xml:space="preserve">否 </w:t>
            </w:r>
            <w:r>
              <w:rPr>
                <w:rFonts w:hint="eastAsia" w:ascii="仿宋" w:hAnsi="仿宋" w:eastAsia="仿宋" w:cs="仿宋"/>
                <w:kern w:val="0"/>
                <w:sz w:val="24"/>
                <w:szCs w:val="24"/>
                <w:highlight w:val="none"/>
                <w:lang w:val="en-US" w:eastAsia="zh-CN"/>
              </w:rPr>
              <w:t>不</w:t>
            </w:r>
            <w:r>
              <w:rPr>
                <w:rFonts w:hint="eastAsia" w:ascii="仿宋" w:hAnsi="仿宋" w:eastAsia="仿宋" w:cs="仿宋"/>
                <w:kern w:val="0"/>
                <w:sz w:val="24"/>
                <w:szCs w:val="24"/>
                <w:highlight w:val="none"/>
              </w:rPr>
              <w:t>专门面</w:t>
            </w:r>
            <w:bookmarkStart w:id="79" w:name="_GoBack"/>
            <w:bookmarkEnd w:id="79"/>
            <w:r>
              <w:rPr>
                <w:rFonts w:hint="eastAsia" w:ascii="仿宋" w:hAnsi="仿宋" w:eastAsia="仿宋" w:cs="仿宋"/>
                <w:kern w:val="0"/>
                <w:sz w:val="24"/>
                <w:szCs w:val="24"/>
                <w:highlight w:val="none"/>
              </w:rPr>
              <w:t>向中小企业采购</w:t>
            </w:r>
          </w:p>
        </w:tc>
      </w:tr>
      <w:tr w14:paraId="46B0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3" w:type="dxa"/>
            <w:vMerge w:val="continue"/>
            <w:noWrap w:val="0"/>
            <w:vAlign w:val="center"/>
          </w:tcPr>
          <w:p w14:paraId="323DDF06">
            <w:pPr>
              <w:snapToGrid w:val="0"/>
              <w:spacing w:line="360" w:lineRule="auto"/>
              <w:jc w:val="center"/>
              <w:rPr>
                <w:sz w:val="24"/>
                <w:szCs w:val="24"/>
                <w:highlight w:val="none"/>
              </w:rPr>
            </w:pPr>
          </w:p>
        </w:tc>
        <w:tc>
          <w:tcPr>
            <w:tcW w:w="850" w:type="dxa"/>
            <w:vMerge w:val="continue"/>
            <w:noWrap w:val="0"/>
            <w:vAlign w:val="center"/>
          </w:tcPr>
          <w:p w14:paraId="6D3D4B09">
            <w:pPr>
              <w:snapToGrid w:val="0"/>
              <w:spacing w:line="360" w:lineRule="auto"/>
              <w:jc w:val="center"/>
              <w:rPr>
                <w:sz w:val="24"/>
                <w:szCs w:val="24"/>
                <w:highlight w:val="none"/>
              </w:rPr>
            </w:pPr>
          </w:p>
        </w:tc>
        <w:tc>
          <w:tcPr>
            <w:tcW w:w="851" w:type="dxa"/>
            <w:vMerge w:val="continue"/>
            <w:noWrap w:val="0"/>
            <w:vAlign w:val="center"/>
          </w:tcPr>
          <w:p w14:paraId="5506E590">
            <w:pPr>
              <w:tabs>
                <w:tab w:val="left" w:pos="567"/>
              </w:tabs>
              <w:snapToGrid w:val="0"/>
              <w:spacing w:line="360" w:lineRule="auto"/>
              <w:textAlignment w:val="baseline"/>
              <w:rPr>
                <w:sz w:val="24"/>
                <w:szCs w:val="24"/>
                <w:highlight w:val="none"/>
              </w:rPr>
            </w:pPr>
          </w:p>
        </w:tc>
        <w:tc>
          <w:tcPr>
            <w:tcW w:w="6948" w:type="dxa"/>
            <w:noWrap w:val="0"/>
            <w:vAlign w:val="center"/>
          </w:tcPr>
          <w:p w14:paraId="138BA64A">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本项目属于</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农林牧渔业 </w:t>
            </w:r>
            <w:r>
              <w:rPr>
                <w:rFonts w:hint="eastAsia" w:ascii="仿宋" w:hAnsi="仿宋" w:eastAsia="仿宋" w:cs="仿宋"/>
                <w:kern w:val="0"/>
                <w:sz w:val="24"/>
                <w:szCs w:val="24"/>
                <w:highlight w:val="none"/>
              </w:rPr>
              <w:sym w:font="Wingdings" w:char="00FE"/>
            </w:r>
            <w:r>
              <w:rPr>
                <w:rFonts w:hint="eastAsia" w:ascii="仿宋" w:hAnsi="仿宋" w:eastAsia="仿宋" w:cs="仿宋"/>
                <w:kern w:val="0"/>
                <w:sz w:val="24"/>
                <w:szCs w:val="24"/>
                <w:highlight w:val="none"/>
              </w:rPr>
              <w:t xml:space="preserve">工业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建筑业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批发业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零售业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交通运输业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仓储业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邮政业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住宿业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餐饮业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信息运输业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软件和信息技术服务业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房地产开发经营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物业管理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 xml:space="preserve">租赁和商务服务业 </w:t>
            </w: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其他未列明行业。</w:t>
            </w:r>
          </w:p>
        </w:tc>
      </w:tr>
      <w:tr w14:paraId="31CF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3" w:type="dxa"/>
            <w:vMerge w:val="continue"/>
            <w:noWrap w:val="0"/>
            <w:vAlign w:val="center"/>
          </w:tcPr>
          <w:p w14:paraId="2641A674">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5021B9FC">
            <w:pPr>
              <w:snapToGrid w:val="0"/>
              <w:spacing w:line="360" w:lineRule="auto"/>
              <w:jc w:val="center"/>
              <w:rPr>
                <w:rFonts w:hint="eastAsia" w:ascii="仿宋" w:hAnsi="仿宋" w:eastAsia="仿宋" w:cs="仿宋"/>
                <w:color w:val="auto"/>
                <w:sz w:val="24"/>
                <w:szCs w:val="24"/>
                <w:highlight w:val="none"/>
              </w:rPr>
            </w:pPr>
          </w:p>
        </w:tc>
        <w:tc>
          <w:tcPr>
            <w:tcW w:w="851" w:type="dxa"/>
            <w:vMerge w:val="continue"/>
            <w:noWrap w:val="0"/>
            <w:vAlign w:val="center"/>
          </w:tcPr>
          <w:p w14:paraId="544B2DB5">
            <w:pPr>
              <w:tabs>
                <w:tab w:val="left" w:pos="567"/>
              </w:tabs>
              <w:snapToGrid w:val="0"/>
              <w:spacing w:line="360" w:lineRule="auto"/>
              <w:textAlignment w:val="baseline"/>
              <w:rPr>
                <w:rFonts w:hint="eastAsia" w:ascii="仿宋" w:hAnsi="仿宋" w:eastAsia="仿宋" w:cs="仿宋"/>
                <w:color w:val="auto"/>
                <w:sz w:val="24"/>
                <w:szCs w:val="24"/>
                <w:highlight w:val="none"/>
              </w:rPr>
            </w:pPr>
          </w:p>
        </w:tc>
        <w:tc>
          <w:tcPr>
            <w:tcW w:w="6948" w:type="dxa"/>
            <w:noWrap w:val="0"/>
            <w:vAlign w:val="center"/>
          </w:tcPr>
          <w:p w14:paraId="04816C81">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根据《政府采购促进中小企业发展管理办法》（财库﹝2020﹞46号）和《山西省财政厅关于进一步加大政府采购支持中小企业力度助力扎实稳住经济的通知》（晋财购〔2022〕6号）规定，按照本次采购标的所属行业的划型标准，符合条件的中小企业须按照</w:t>
            </w:r>
            <w:r>
              <w:rPr>
                <w:rFonts w:hint="eastAsia" w:ascii="仿宋" w:hAnsi="仿宋" w:eastAsia="仿宋" w:cs="仿宋"/>
                <w:kern w:val="0"/>
                <w:sz w:val="24"/>
                <w:szCs w:val="24"/>
                <w:highlight w:val="none"/>
                <w:lang w:eastAsia="zh-CN"/>
              </w:rPr>
              <w:t>谈判文件</w:t>
            </w:r>
            <w:r>
              <w:rPr>
                <w:rFonts w:hint="eastAsia" w:ascii="仿宋" w:hAnsi="仿宋" w:eastAsia="仿宋" w:cs="仿宋"/>
                <w:kern w:val="0"/>
                <w:sz w:val="24"/>
                <w:szCs w:val="24"/>
                <w:highlight w:val="none"/>
              </w:rPr>
              <w:t>格式提供《中小企业声明函》（详见</w:t>
            </w:r>
            <w:r>
              <w:rPr>
                <w:rFonts w:hint="eastAsia" w:ascii="仿宋" w:hAnsi="仿宋" w:eastAsia="仿宋" w:cs="仿宋"/>
                <w:kern w:val="0"/>
                <w:sz w:val="24"/>
                <w:szCs w:val="24"/>
                <w:highlight w:val="none"/>
                <w:lang w:eastAsia="zh-CN"/>
              </w:rPr>
              <w:t>第七部分</w:t>
            </w:r>
            <w:r>
              <w:rPr>
                <w:rFonts w:hint="eastAsia" w:ascii="仿宋" w:hAnsi="仿宋" w:eastAsia="仿宋" w:cs="仿宋"/>
                <w:kern w:val="0"/>
                <w:sz w:val="24"/>
                <w:szCs w:val="24"/>
                <w:highlight w:val="none"/>
              </w:rPr>
              <w:t xml:space="preserve"> 响应文件格式）。</w:t>
            </w:r>
          </w:p>
        </w:tc>
      </w:tr>
      <w:tr w14:paraId="29D1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3" w:type="dxa"/>
            <w:vMerge w:val="continue"/>
            <w:noWrap w:val="0"/>
            <w:vAlign w:val="center"/>
          </w:tcPr>
          <w:p w14:paraId="0FFB6942">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026FE883">
            <w:pPr>
              <w:snapToGrid w:val="0"/>
              <w:spacing w:line="360" w:lineRule="auto"/>
              <w:jc w:val="center"/>
              <w:rPr>
                <w:rFonts w:hint="eastAsia" w:ascii="仿宋" w:hAnsi="仿宋" w:eastAsia="仿宋" w:cs="仿宋"/>
                <w:color w:val="auto"/>
                <w:sz w:val="24"/>
                <w:szCs w:val="24"/>
                <w:highlight w:val="none"/>
              </w:rPr>
            </w:pPr>
          </w:p>
        </w:tc>
        <w:tc>
          <w:tcPr>
            <w:tcW w:w="851" w:type="dxa"/>
            <w:vMerge w:val="continue"/>
            <w:noWrap w:val="0"/>
            <w:vAlign w:val="center"/>
          </w:tcPr>
          <w:p w14:paraId="293DBCC2">
            <w:pPr>
              <w:tabs>
                <w:tab w:val="left" w:pos="567"/>
              </w:tabs>
              <w:snapToGrid w:val="0"/>
              <w:spacing w:line="360" w:lineRule="auto"/>
              <w:textAlignment w:val="baseline"/>
              <w:rPr>
                <w:rFonts w:hint="eastAsia" w:ascii="仿宋" w:hAnsi="仿宋" w:eastAsia="仿宋" w:cs="仿宋"/>
                <w:color w:val="auto"/>
                <w:sz w:val="24"/>
                <w:szCs w:val="24"/>
                <w:highlight w:val="none"/>
              </w:rPr>
            </w:pPr>
          </w:p>
        </w:tc>
        <w:tc>
          <w:tcPr>
            <w:tcW w:w="6948" w:type="dxa"/>
            <w:noWrap w:val="0"/>
            <w:vAlign w:val="center"/>
          </w:tcPr>
          <w:p w14:paraId="0EB62D57">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根据财政部发布的《政府采购促进中小企业发展管理办法》（财库〔2020〕46号）、山西省财政厅发布的《关于进一步加大政府采购支持中小企业力度 助力扎实稳住经济的通知》晋财购[2022]6号规定，本项目适用于：</w:t>
            </w:r>
          </w:p>
          <w:p w14:paraId="4C80C162">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sym w:font="Wingdings" w:char="00FE"/>
            </w:r>
            <w:r>
              <w:rPr>
                <w:rFonts w:hint="eastAsia" w:ascii="仿宋" w:hAnsi="仿宋" w:eastAsia="仿宋" w:cs="仿宋"/>
                <w:kern w:val="0"/>
                <w:sz w:val="24"/>
                <w:szCs w:val="24"/>
                <w:highlight w:val="none"/>
              </w:rPr>
              <w:t>对于经主管预算单位统筹后未预留份额专门面向中小企业采购的采购项目，以及预留份额项目中的非预留部分采购包，</w:t>
            </w:r>
            <w:r>
              <w:rPr>
                <w:rFonts w:hint="eastAsia" w:ascii="仿宋" w:hAnsi="仿宋" w:eastAsia="仿宋" w:cs="仿宋"/>
                <w:kern w:val="0"/>
                <w:sz w:val="24"/>
                <w:szCs w:val="24"/>
                <w:highlight w:val="none"/>
                <w:lang w:eastAsia="zh-CN"/>
              </w:rPr>
              <w:t>采购人</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eastAsia="zh-CN"/>
              </w:rPr>
              <w:t>采购代理机构</w:t>
            </w:r>
            <w:r>
              <w:rPr>
                <w:rFonts w:hint="eastAsia" w:ascii="仿宋" w:hAnsi="仿宋" w:eastAsia="仿宋" w:cs="仿宋"/>
                <w:kern w:val="0"/>
                <w:sz w:val="24"/>
                <w:szCs w:val="24"/>
                <w:highlight w:val="none"/>
              </w:rPr>
              <w:t>应当对符合本办法规定的小微企业报价给予15%—20%(工程项目为3%—5%)的扣除，用扣除后的价格参加评审。</w:t>
            </w:r>
          </w:p>
          <w:p w14:paraId="7ECC9C6B">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sym w:font="Wingdings" w:char="00A8"/>
            </w:r>
            <w:r>
              <w:rPr>
                <w:rFonts w:hint="eastAsia" w:ascii="仿宋" w:hAnsi="仿宋" w:eastAsia="仿宋" w:cs="仿宋"/>
                <w:kern w:val="0"/>
                <w:sz w:val="24"/>
                <w:szCs w:val="24"/>
                <w:highlight w:val="none"/>
              </w:rPr>
              <w:t>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kern w:val="0"/>
                <w:sz w:val="24"/>
                <w:szCs w:val="24"/>
                <w:highlight w:val="none"/>
                <w:lang w:eastAsia="zh-CN"/>
              </w:rPr>
              <w:t>采购人</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eastAsia="zh-CN"/>
              </w:rPr>
              <w:t>采购代理机构</w:t>
            </w:r>
            <w:r>
              <w:rPr>
                <w:rFonts w:hint="eastAsia" w:ascii="仿宋" w:hAnsi="仿宋" w:eastAsia="仿宋" w:cs="仿宋"/>
                <w:kern w:val="0"/>
                <w:sz w:val="24"/>
                <w:szCs w:val="24"/>
                <w:highlight w:val="none"/>
              </w:rPr>
              <w:t>应当对联合体或者大中型企业的报价给予5%-6%(工程项目为1%-2%)的扣除，用扣除后的价格参加评审。</w:t>
            </w:r>
          </w:p>
        </w:tc>
      </w:tr>
      <w:tr w14:paraId="2A0F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3" w:type="dxa"/>
            <w:vMerge w:val="continue"/>
            <w:noWrap w:val="0"/>
            <w:vAlign w:val="center"/>
          </w:tcPr>
          <w:p w14:paraId="3DA394D8">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1E2A6862">
            <w:pPr>
              <w:snapToGrid w:val="0"/>
              <w:spacing w:line="360" w:lineRule="auto"/>
              <w:jc w:val="center"/>
              <w:rPr>
                <w:rFonts w:hint="eastAsia" w:ascii="仿宋" w:hAnsi="仿宋" w:eastAsia="仿宋" w:cs="仿宋"/>
                <w:color w:val="auto"/>
                <w:sz w:val="24"/>
                <w:szCs w:val="24"/>
                <w:highlight w:val="none"/>
              </w:rPr>
            </w:pPr>
          </w:p>
        </w:tc>
        <w:tc>
          <w:tcPr>
            <w:tcW w:w="851" w:type="dxa"/>
            <w:vMerge w:val="continue"/>
            <w:noWrap w:val="0"/>
            <w:vAlign w:val="center"/>
          </w:tcPr>
          <w:p w14:paraId="63FAA6EF">
            <w:pPr>
              <w:tabs>
                <w:tab w:val="left" w:pos="567"/>
              </w:tabs>
              <w:snapToGrid w:val="0"/>
              <w:spacing w:line="360" w:lineRule="auto"/>
              <w:textAlignment w:val="baseline"/>
              <w:rPr>
                <w:rFonts w:hint="eastAsia" w:ascii="仿宋" w:hAnsi="仿宋" w:eastAsia="仿宋" w:cs="仿宋"/>
                <w:color w:val="auto"/>
                <w:sz w:val="24"/>
                <w:szCs w:val="24"/>
                <w:highlight w:val="none"/>
              </w:rPr>
            </w:pPr>
          </w:p>
        </w:tc>
        <w:tc>
          <w:tcPr>
            <w:tcW w:w="6948" w:type="dxa"/>
            <w:noWrap w:val="0"/>
            <w:vAlign w:val="center"/>
          </w:tcPr>
          <w:p w14:paraId="1F512DC2">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小、微企业只有提供本企业制造的货物、承担的工程或者服务，或者提供其他小、微企业制造的货物，享受货物的价格折扣，须如实填写《</w:t>
            </w:r>
            <w:r>
              <w:rPr>
                <w:rFonts w:hint="eastAsia" w:ascii="仿宋" w:hAnsi="仿宋" w:eastAsia="仿宋" w:cs="仿宋"/>
                <w:kern w:val="0"/>
                <w:sz w:val="24"/>
                <w:szCs w:val="24"/>
                <w:highlight w:val="none"/>
                <w:lang w:eastAsia="zh-CN"/>
              </w:rPr>
              <w:t>分项报价表</w:t>
            </w:r>
            <w:r>
              <w:rPr>
                <w:rFonts w:hint="eastAsia" w:ascii="仿宋" w:hAnsi="仿宋" w:eastAsia="仿宋" w:cs="仿宋"/>
                <w:kern w:val="0"/>
                <w:sz w:val="24"/>
                <w:szCs w:val="24"/>
                <w:highlight w:val="none"/>
              </w:rPr>
              <w:t>》（详见</w:t>
            </w:r>
            <w:r>
              <w:rPr>
                <w:rFonts w:hint="eastAsia" w:ascii="仿宋" w:hAnsi="仿宋" w:eastAsia="仿宋" w:cs="仿宋"/>
                <w:kern w:val="0"/>
                <w:sz w:val="24"/>
                <w:szCs w:val="24"/>
                <w:highlight w:val="none"/>
                <w:lang w:eastAsia="zh-CN"/>
              </w:rPr>
              <w:t>第七部分</w:t>
            </w:r>
            <w:r>
              <w:rPr>
                <w:rFonts w:hint="eastAsia" w:ascii="仿宋" w:hAnsi="仿宋" w:eastAsia="仿宋" w:cs="仿宋"/>
                <w:kern w:val="0"/>
                <w:sz w:val="24"/>
                <w:szCs w:val="24"/>
                <w:highlight w:val="none"/>
              </w:rPr>
              <w:t xml:space="preserve"> 响应文件格式）；</w:t>
            </w:r>
          </w:p>
          <w:p w14:paraId="0BEB7C08">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在货物采购项目中，</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提供的货物既有中小企业制造货物，也有大型企业制造货物，不享受中小企业扶持政策。</w:t>
            </w:r>
          </w:p>
          <w:p w14:paraId="2D42B3CA">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以联合体形式参加政府采购活动，联合体各方均为中小企业的，联合体视同中小企业。其中，联合体各方均为小微企业的，联合体视同小微企业。</w:t>
            </w:r>
          </w:p>
        </w:tc>
      </w:tr>
      <w:tr w14:paraId="747C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6C05D014">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799F1108">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52B8A186">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监狱</w:t>
            </w:r>
          </w:p>
          <w:p w14:paraId="2F893733">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企业</w:t>
            </w:r>
          </w:p>
        </w:tc>
        <w:tc>
          <w:tcPr>
            <w:tcW w:w="6948" w:type="dxa"/>
            <w:noWrap w:val="0"/>
            <w:vAlign w:val="center"/>
          </w:tcPr>
          <w:p w14:paraId="72D3533F">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根据财库〔2014〕68号《财政部 司法部关于政府采购支持监狱企业发展有关问题的通知》，能够提供由省级以上监狱管理局、戒毒管理局（含新疆生产建设兵团）出具的“属于监狱企业的证明文件”的监狱企业，视同小型、微型企业。</w:t>
            </w:r>
          </w:p>
        </w:tc>
      </w:tr>
      <w:tr w14:paraId="7EE4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1B5E8C46">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24FEB7BF">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5671A704">
            <w:pPr>
              <w:tabs>
                <w:tab w:val="left" w:pos="567"/>
              </w:tabs>
              <w:snapToGrid w:val="0"/>
              <w:spacing w:line="360" w:lineRule="auto"/>
              <w:jc w:val="center"/>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lang w:val="en-US" w:eastAsia="zh-CN"/>
              </w:rPr>
              <w:t>残疾人福利企业</w:t>
            </w:r>
          </w:p>
        </w:tc>
        <w:tc>
          <w:tcPr>
            <w:tcW w:w="6948" w:type="dxa"/>
            <w:noWrap w:val="0"/>
            <w:vAlign w:val="center"/>
          </w:tcPr>
          <w:p w14:paraId="27D9B467">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根据财库〔2017〕141号《财政部 民政部 中国残疾人联合会关于促进残疾人就业政府采购政策的通知》，符合享受政府采购支持政策的残疾人福利性单位条件且提供《残疾人福利性单位声明函》的残疾人福利性单位，视同小型、微型企业。</w:t>
            </w:r>
          </w:p>
        </w:tc>
      </w:tr>
      <w:tr w14:paraId="779B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139781B5">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5623B82D">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44BBFAFA">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本国产品的支持政策</w:t>
            </w:r>
          </w:p>
        </w:tc>
        <w:tc>
          <w:tcPr>
            <w:tcW w:w="6948" w:type="dxa"/>
            <w:noWrap w:val="0"/>
            <w:vAlign w:val="center"/>
          </w:tcPr>
          <w:p w14:paraId="5CD47C34">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采购标的物未特别注明“进口产品”（通过中国海关报关验放进入中国境内且产自境外的产品）字样的，均必须采购本国产品。</w:t>
            </w:r>
          </w:p>
          <w:p w14:paraId="72E14F94">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采购标的物特别注明“进口产品”字样的，如无能够满足采购需求的本国产品，优先采购向我国企业转让技术、与我国企业签订消化吸收再创新方案的</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的进口产品。如果有能够满足采购需求的本国产品参与，应当按照公平竞争的原则进行评审。</w:t>
            </w:r>
          </w:p>
          <w:p w14:paraId="20156915">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政府采购活动中既有本国产品又有非本国产品参与竞争的，依法对本国产品给予价格评审优惠，对本国产品的报价给予20%的价格扣除，用扣除后的价格参与评审。当采购项目或者采购包中含有多种产品，</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为该采购项目或者采购包提供的符合本国产品标准的产品成本之和占该</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提供的全部产品成本之和的比例达到80%以上时，依法对该</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提供的全部产品给予价格评审优惠，即对该</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提供的全部产品的总报价给予20%的价格扣除，用扣除后的价格参与评审。产品在中国境内生产的组件成本核算规则。产品在中国境内生产的组件成本，按照《中国境内生产的组件成本核算基本规则》计算。</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对其提供的产品出具《关于符合本国产品标准的声明函》或财政部会同有关部门规定的有关证明文件。</w:t>
            </w:r>
            <w:r>
              <w:rPr>
                <w:rFonts w:hint="eastAsia" w:ascii="仿宋" w:hAnsi="仿宋" w:eastAsia="仿宋" w:cs="仿宋"/>
                <w:kern w:val="0"/>
                <w:sz w:val="24"/>
                <w:szCs w:val="24"/>
                <w:highlight w:val="none"/>
                <w:lang w:eastAsia="zh-CN"/>
              </w:rPr>
              <w:t>采购人</w:t>
            </w:r>
            <w:r>
              <w:rPr>
                <w:rFonts w:hint="eastAsia" w:ascii="仿宋" w:hAnsi="仿宋" w:eastAsia="仿宋" w:cs="仿宋"/>
                <w:kern w:val="0"/>
                <w:sz w:val="24"/>
                <w:szCs w:val="24"/>
                <w:highlight w:val="none"/>
              </w:rPr>
              <w:t>应当在采购文件中明确对</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所出具的《关于符合本国产品标准的声明函》（以下简称《声明函》）的完整性、准确性进行审查的要求，评审中发现《声明函》内容含义不明确、同类事项与投标（响应）文件表述不一致或者有明显文字错误等情况的，应当以书面形式要求</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作出必要的澄清、说明或者补正。经澄清、说明或者补正的《声明函》仍然不符合《通知》规定要求的，</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提供的相关产品视为不符合本国产品标准。</w:t>
            </w:r>
          </w:p>
        </w:tc>
      </w:tr>
      <w:tr w14:paraId="5CC0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0F57A2DA">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424CD3E6">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117B1043">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政府绿色采购有关事项</w:t>
            </w:r>
          </w:p>
        </w:tc>
        <w:tc>
          <w:tcPr>
            <w:tcW w:w="6948" w:type="dxa"/>
            <w:noWrap w:val="0"/>
            <w:vAlign w:val="center"/>
          </w:tcPr>
          <w:p w14:paraId="67D736DA">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依据《山西省财政厅关于进一步加强政府绿色采购有关事项的通知》，对实施强制采购或执行强制性绿色采购标准的品目，不接受非强制采购产品。对于优先采购的绿色产品，给予4%的价格扣除，用扣除后的价格参与评审。对中小微企业，严格落实政府采购优惠政策，同时享受绿色采购政策的价格扣除等评审优惠措施，分别计算，叠加执行。</w:t>
            </w:r>
          </w:p>
          <w:p w14:paraId="7B8C4DCE">
            <w:pPr>
              <w:tabs>
                <w:tab w:val="left" w:pos="567"/>
              </w:tabs>
              <w:snapToGrid w:val="0"/>
              <w:spacing w:line="360" w:lineRule="auto"/>
              <w:jc w:val="left"/>
              <w:textAlignment w:val="baseline"/>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rPr>
              <w:t>关于绿色建材：若本项目中涉及的建筑材料属于《绿色建筑和绿色建材政府采购需求标准（2025年版）》明确为“必选类”的，</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应当全部采购和使用符合相关标准的绿色建材。属于前述《需求标准》明确为“可选类”的，</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自主选择使用性价比高的绿色建材产品，选用种类应不低于建筑项目所涉及的建材种类的40%</w:t>
            </w:r>
            <w:r>
              <w:rPr>
                <w:rFonts w:hint="eastAsia" w:ascii="仿宋" w:hAnsi="仿宋" w:eastAsia="仿宋" w:cs="仿宋"/>
                <w:kern w:val="0"/>
                <w:sz w:val="24"/>
                <w:szCs w:val="24"/>
                <w:highlight w:val="none"/>
                <w:lang w:val="en-US" w:eastAsia="zh-CN"/>
              </w:rPr>
              <w:t>。绿色建筑和绿色建材政府采购需求标准（2025年版）原文链接（https://www.gov.cn/zhengce/zhengceku/202501/P020250111596858618141.docx）。</w:t>
            </w:r>
          </w:p>
          <w:p w14:paraId="539DC637">
            <w:pPr>
              <w:tabs>
                <w:tab w:val="left" w:pos="567"/>
              </w:tabs>
              <w:snapToGrid w:val="0"/>
              <w:spacing w:line="360" w:lineRule="auto"/>
              <w:textAlignment w:val="baseline"/>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前述建筑材料，供应商应在材料进场时提供建材产品符合需求标准的证明性文件，包括国家统一推行的绿色建材产品认证证书，或符合需求标准的有效检测报告等。涉及</w:t>
            </w:r>
            <w:r>
              <w:rPr>
                <w:rFonts w:hint="eastAsia" w:ascii="仿宋" w:hAnsi="仿宋" w:eastAsia="仿宋" w:cs="仿宋"/>
                <w:kern w:val="0"/>
                <w:sz w:val="24"/>
                <w:szCs w:val="24"/>
                <w:highlight w:val="none"/>
              </w:rPr>
              <w:t>绿色建材</w:t>
            </w:r>
            <w:r>
              <w:rPr>
                <w:rFonts w:hint="eastAsia" w:ascii="仿宋" w:hAnsi="仿宋" w:eastAsia="仿宋" w:cs="仿宋"/>
                <w:kern w:val="0"/>
                <w:sz w:val="24"/>
                <w:szCs w:val="24"/>
                <w:highlight w:val="none"/>
                <w:lang w:val="en-US" w:eastAsia="zh-CN"/>
              </w:rPr>
              <w:t>的</w:t>
            </w:r>
            <w:r>
              <w:rPr>
                <w:rFonts w:hint="eastAsia" w:ascii="仿宋" w:hAnsi="仿宋" w:eastAsia="仿宋" w:cs="仿宋"/>
                <w:kern w:val="0"/>
                <w:sz w:val="24"/>
                <w:szCs w:val="24"/>
                <w:highlight w:val="none"/>
                <w:lang w:eastAsia="zh-CN"/>
              </w:rPr>
              <w:t>供应商</w:t>
            </w:r>
            <w:r>
              <w:rPr>
                <w:rFonts w:hint="eastAsia" w:ascii="仿宋" w:hAnsi="仿宋" w:eastAsia="仿宋" w:cs="仿宋"/>
                <w:kern w:val="0"/>
                <w:sz w:val="24"/>
                <w:szCs w:val="24"/>
                <w:highlight w:val="none"/>
              </w:rPr>
              <w:t>须按照</w:t>
            </w:r>
            <w:r>
              <w:rPr>
                <w:rFonts w:hint="eastAsia" w:ascii="仿宋" w:hAnsi="仿宋" w:eastAsia="仿宋" w:cs="仿宋"/>
                <w:kern w:val="0"/>
                <w:sz w:val="24"/>
                <w:szCs w:val="24"/>
                <w:highlight w:val="none"/>
                <w:lang w:eastAsia="zh-CN"/>
              </w:rPr>
              <w:t>谈判文件</w:t>
            </w:r>
            <w:r>
              <w:rPr>
                <w:rFonts w:hint="eastAsia" w:ascii="仿宋" w:hAnsi="仿宋" w:eastAsia="仿宋" w:cs="仿宋"/>
                <w:kern w:val="0"/>
                <w:sz w:val="24"/>
                <w:szCs w:val="24"/>
                <w:highlight w:val="none"/>
              </w:rPr>
              <w:t>格式提供</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绿色建材承诺函</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（详见第</w:t>
            </w:r>
            <w:r>
              <w:rPr>
                <w:rFonts w:hint="eastAsia" w:ascii="仿宋" w:hAnsi="仿宋" w:eastAsia="仿宋" w:cs="仿宋"/>
                <w:kern w:val="0"/>
                <w:sz w:val="24"/>
                <w:szCs w:val="24"/>
                <w:highlight w:val="none"/>
                <w:lang w:eastAsia="zh-CN"/>
              </w:rPr>
              <w:t>八</w:t>
            </w:r>
            <w:r>
              <w:rPr>
                <w:rFonts w:hint="eastAsia" w:ascii="仿宋" w:hAnsi="仿宋" w:eastAsia="仿宋" w:cs="仿宋"/>
                <w:kern w:val="0"/>
                <w:sz w:val="24"/>
                <w:szCs w:val="24"/>
                <w:highlight w:val="none"/>
              </w:rPr>
              <w:t xml:space="preserve">部分 </w:t>
            </w:r>
            <w:r>
              <w:rPr>
                <w:rFonts w:hint="eastAsia" w:ascii="仿宋" w:hAnsi="仿宋" w:eastAsia="仿宋" w:cs="仿宋"/>
                <w:kern w:val="0"/>
                <w:sz w:val="24"/>
                <w:szCs w:val="24"/>
                <w:highlight w:val="none"/>
                <w:lang w:val="en-US" w:eastAsia="zh-CN"/>
              </w:rPr>
              <w:t>政府采购政策性要求</w:t>
            </w:r>
            <w:r>
              <w:rPr>
                <w:rFonts w:hint="eastAsia" w:ascii="仿宋" w:hAnsi="仿宋" w:eastAsia="仿宋" w:cs="仿宋"/>
                <w:kern w:val="0"/>
                <w:sz w:val="24"/>
                <w:szCs w:val="24"/>
                <w:highlight w:val="none"/>
              </w:rPr>
              <w:t>）。</w:t>
            </w:r>
          </w:p>
          <w:p w14:paraId="7EF66C03">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绿色数据中心建设：若本项目属于数据中心建设项目时，</w:t>
            </w:r>
            <w:r>
              <w:rPr>
                <w:rFonts w:hint="eastAsia" w:ascii="仿宋" w:hAnsi="仿宋" w:eastAsia="仿宋" w:cs="仿宋"/>
                <w:kern w:val="0"/>
                <w:sz w:val="24"/>
                <w:szCs w:val="24"/>
                <w:highlight w:val="none"/>
                <w:lang w:eastAsia="zh-CN"/>
              </w:rPr>
              <w:t>采购人</w:t>
            </w:r>
            <w:r>
              <w:rPr>
                <w:rFonts w:hint="eastAsia" w:ascii="仿宋" w:hAnsi="仿宋" w:eastAsia="仿宋" w:cs="仿宋"/>
                <w:kern w:val="0"/>
                <w:sz w:val="24"/>
                <w:szCs w:val="24"/>
                <w:highlight w:val="none"/>
              </w:rPr>
              <w:t>应按照《绿色数据中心政府采购需求标准（试行）》有关要求实施相关采购活动。采购数据中心的相关设备、运维服务应当有利于节约能源、环境保护和资源循环利用，大型、超大型数据中心应全部达到绿色数据中心要求。</w:t>
            </w:r>
          </w:p>
        </w:tc>
      </w:tr>
      <w:tr w14:paraId="7027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230FF235">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3B19B46A">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399E70B5">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无线局域网产品政府采购政策</w:t>
            </w:r>
          </w:p>
        </w:tc>
        <w:tc>
          <w:tcPr>
            <w:tcW w:w="6948" w:type="dxa"/>
            <w:noWrap w:val="0"/>
            <w:vAlign w:val="center"/>
          </w:tcPr>
          <w:p w14:paraId="007B1E92">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本项目采购的产品属于中国政府采购网公布的《无线局域网认证产品政府采购清单》且在有效期内的，提供《中国政府采购网》公布的无线局域网产品政府采购清单封面及对应页，实行优先采购。</w:t>
            </w:r>
          </w:p>
        </w:tc>
      </w:tr>
      <w:tr w14:paraId="29F0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18FAE826">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6ADCD473">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54622DB9">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涉及网络安全产品的要求</w:t>
            </w:r>
          </w:p>
        </w:tc>
        <w:tc>
          <w:tcPr>
            <w:tcW w:w="6948" w:type="dxa"/>
            <w:noWrap w:val="0"/>
            <w:vAlign w:val="center"/>
          </w:tcPr>
          <w:p w14:paraId="064FC50C">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按照《关于调整网络安全专用产品安全管理有关事项的公告》（2023年第1号）和《关于调整〈网络关键设备和网络安全专用产品目录〉的公告》（2023年第2号）的有关要求，自2023年7月1日起，列入《网络关键设备和网络安全专用产品目录》的网络安全专用产品应当按照《信息安全技术网络安全专用产品安全技术要求》等相关国家标准的强制性要求，由具备资格的机构安全认证合格或安全检测符合要求的，或此前已经获得《计算机信息系统安全专用产品销售许可证》且在有效期内的，方可销售或者提供。</w:t>
            </w:r>
          </w:p>
          <w:p w14:paraId="6253E7D7">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网络安全产品包括：网络关键设备和网络安全专用产品。</w:t>
            </w:r>
          </w:p>
          <w:p w14:paraId="10A21548">
            <w:pPr>
              <w:tabs>
                <w:tab w:val="left" w:pos="567"/>
              </w:tabs>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kern w:val="0"/>
                <w:sz w:val="24"/>
                <w:szCs w:val="24"/>
                <w:highlight w:val="none"/>
              </w:rPr>
              <w:t>具备资格的机构是指列入《承担网络关键设备和网络安全专用产品安全认证和安全检测任务机构名录》的机构。</w:t>
            </w:r>
          </w:p>
        </w:tc>
      </w:tr>
      <w:tr w14:paraId="76AF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jc w:val="center"/>
        </w:trPr>
        <w:tc>
          <w:tcPr>
            <w:tcW w:w="713" w:type="dxa"/>
            <w:vMerge w:val="continue"/>
            <w:noWrap w:val="0"/>
            <w:vAlign w:val="center"/>
          </w:tcPr>
          <w:p w14:paraId="034D7D1C">
            <w:pPr>
              <w:snapToGrid w:val="0"/>
              <w:spacing w:line="360" w:lineRule="auto"/>
              <w:jc w:val="center"/>
              <w:rPr>
                <w:rFonts w:hint="eastAsia" w:ascii="仿宋" w:hAnsi="仿宋" w:eastAsia="仿宋" w:cs="仿宋"/>
                <w:color w:val="auto"/>
                <w:sz w:val="24"/>
                <w:szCs w:val="24"/>
                <w:highlight w:val="none"/>
              </w:rPr>
            </w:pPr>
          </w:p>
        </w:tc>
        <w:tc>
          <w:tcPr>
            <w:tcW w:w="850" w:type="dxa"/>
            <w:vMerge w:val="continue"/>
            <w:noWrap w:val="0"/>
            <w:vAlign w:val="center"/>
          </w:tcPr>
          <w:p w14:paraId="1A06D71D">
            <w:pPr>
              <w:snapToGrid w:val="0"/>
              <w:spacing w:line="360" w:lineRule="auto"/>
              <w:jc w:val="center"/>
              <w:rPr>
                <w:rFonts w:hint="eastAsia" w:ascii="仿宋" w:hAnsi="仿宋" w:eastAsia="仿宋" w:cs="仿宋"/>
                <w:color w:val="auto"/>
                <w:sz w:val="24"/>
                <w:szCs w:val="24"/>
                <w:highlight w:val="none"/>
              </w:rPr>
            </w:pPr>
          </w:p>
        </w:tc>
        <w:tc>
          <w:tcPr>
            <w:tcW w:w="851" w:type="dxa"/>
            <w:noWrap w:val="0"/>
            <w:vAlign w:val="center"/>
          </w:tcPr>
          <w:p w14:paraId="55F6EFDE">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财政部财库〔2026〕10号文件规定</w:t>
            </w:r>
          </w:p>
        </w:tc>
        <w:tc>
          <w:tcPr>
            <w:tcW w:w="6948" w:type="dxa"/>
            <w:noWrap w:val="0"/>
            <w:vAlign w:val="center"/>
          </w:tcPr>
          <w:p w14:paraId="2ADFF4CB">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本项目执行财政部财库〔2026〕10号文件规定：供应商不得提供财政部规定的46家美国企业生产的产品（在华美资企业产品除外）。所投产品违反规定的，按</w:t>
            </w:r>
            <w:r>
              <w:rPr>
                <w:rFonts w:hint="eastAsia" w:ascii="仿宋" w:hAnsi="仿宋" w:eastAsia="仿宋" w:cs="仿宋"/>
                <w:kern w:val="0"/>
                <w:sz w:val="24"/>
                <w:szCs w:val="24"/>
                <w:highlight w:val="none"/>
                <w:lang w:eastAsia="zh-CN"/>
              </w:rPr>
              <w:t>无效响应</w:t>
            </w:r>
            <w:r>
              <w:rPr>
                <w:rFonts w:hint="eastAsia" w:ascii="仿宋" w:hAnsi="仿宋" w:eastAsia="仿宋" w:cs="仿宋"/>
                <w:kern w:val="0"/>
                <w:sz w:val="24"/>
                <w:szCs w:val="24"/>
                <w:highlight w:val="none"/>
              </w:rPr>
              <w:t>处理。</w:t>
            </w:r>
          </w:p>
          <w:p w14:paraId="3F5E55CD">
            <w:pPr>
              <w:tabs>
                <w:tab w:val="left" w:pos="567"/>
              </w:tabs>
              <w:snapToGrid w:val="0"/>
              <w:spacing w:line="360" w:lineRule="auto"/>
              <w:textAlignment w:val="baseline"/>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注：46家美国企业名单查询地址：关于在政府采购活动中对有关美国企业采取相关措施的通知  http://gks.mof.gov.cn/guizhangzhidu/202606/t20260622_3991936.htm</w:t>
            </w:r>
          </w:p>
        </w:tc>
      </w:tr>
      <w:tr w14:paraId="09C2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13" w:type="dxa"/>
            <w:noWrap w:val="0"/>
            <w:vAlign w:val="center"/>
          </w:tcPr>
          <w:p w14:paraId="76D38DE6">
            <w:pPr>
              <w:snapToGrid w:val="0"/>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1701" w:type="dxa"/>
            <w:gridSpan w:val="2"/>
            <w:noWrap w:val="0"/>
            <w:vAlign w:val="center"/>
          </w:tcPr>
          <w:p w14:paraId="746F30FE">
            <w:pPr>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其他要求</w:t>
            </w:r>
          </w:p>
        </w:tc>
        <w:tc>
          <w:tcPr>
            <w:tcW w:w="6948" w:type="dxa"/>
            <w:noWrap w:val="0"/>
            <w:vAlign w:val="center"/>
          </w:tcPr>
          <w:p w14:paraId="532BDC77">
            <w:pPr>
              <w:numPr>
                <w:ilvl w:val="0"/>
                <w:numId w:val="0"/>
              </w:num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当供应商须知前附表和供应商须知中的内容和条款有冲突或不一致时，以供应商须知前附表为准。</w:t>
            </w:r>
          </w:p>
        </w:tc>
      </w:tr>
    </w:tbl>
    <w:p w14:paraId="29769AC2">
      <w:pP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br w:type="page"/>
      </w:r>
    </w:p>
    <w:p w14:paraId="5F837F94">
      <w:pPr>
        <w:spacing w:line="360" w:lineRule="auto"/>
        <w:jc w:val="center"/>
        <w:outlineLvl w:val="9"/>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电子投标须知前附表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1903"/>
        <w:gridCol w:w="6533"/>
      </w:tblGrid>
      <w:tr w14:paraId="32E3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vAlign w:val="center"/>
          </w:tcPr>
          <w:p w14:paraId="6B867E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序号</w:t>
            </w:r>
          </w:p>
        </w:tc>
        <w:tc>
          <w:tcPr>
            <w:tcW w:w="1903" w:type="dxa"/>
            <w:vAlign w:val="center"/>
          </w:tcPr>
          <w:p w14:paraId="4E8968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条款名称</w:t>
            </w:r>
          </w:p>
        </w:tc>
        <w:tc>
          <w:tcPr>
            <w:tcW w:w="6533" w:type="dxa"/>
            <w:vAlign w:val="center"/>
          </w:tcPr>
          <w:p w14:paraId="2CFE67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编列内容</w:t>
            </w:r>
          </w:p>
        </w:tc>
      </w:tr>
      <w:tr w14:paraId="488A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C1EC7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1</w:t>
            </w:r>
          </w:p>
        </w:tc>
        <w:tc>
          <w:tcPr>
            <w:tcW w:w="1903" w:type="dxa"/>
            <w:vAlign w:val="center"/>
          </w:tcPr>
          <w:p w14:paraId="31187D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eastAsia="zh-CN"/>
              </w:rPr>
              <w:t>响应文件</w:t>
            </w:r>
            <w:r>
              <w:rPr>
                <w:rFonts w:hint="eastAsia" w:ascii="仿宋" w:hAnsi="仿宋" w:eastAsia="仿宋" w:cs="仿宋"/>
                <w:color w:val="auto"/>
                <w:sz w:val="21"/>
                <w:szCs w:val="21"/>
                <w:highlight w:val="none"/>
              </w:rPr>
              <w:t>编制</w:t>
            </w:r>
          </w:p>
        </w:tc>
        <w:tc>
          <w:tcPr>
            <w:tcW w:w="6533" w:type="dxa"/>
            <w:vAlign w:val="center"/>
          </w:tcPr>
          <w:p w14:paraId="41BFEA63">
            <w:pPr>
              <w:pStyle w:val="2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1.1供应商应使用政采云系统的响应文件编制工具，按照操作手册编制电子响应文件，并使用数字证书（CA）按照谈判文件规定签字、盖章。同时使用数字证书（CA）对响应文件进行加密。</w:t>
            </w:r>
          </w:p>
          <w:p w14:paraId="5E7F07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1.2在上传电子响应文件时，需对应系统中每个模块要求，形成独立的PDF格式文件，按照指定对应模块，逐条完成上传，保存后提交。</w:t>
            </w:r>
          </w:p>
          <w:p w14:paraId="76023F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1.3电子响应文件所附各类证件、证书、证明，均随响应文件统一编排页码进行上传。</w:t>
            </w:r>
          </w:p>
        </w:tc>
      </w:tr>
      <w:tr w14:paraId="4C94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5ACDC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2</w:t>
            </w:r>
          </w:p>
        </w:tc>
        <w:tc>
          <w:tcPr>
            <w:tcW w:w="1903" w:type="dxa"/>
            <w:vAlign w:val="center"/>
          </w:tcPr>
          <w:p w14:paraId="57FB59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电子响应文件解密</w:t>
            </w:r>
          </w:p>
        </w:tc>
        <w:tc>
          <w:tcPr>
            <w:tcW w:w="6533" w:type="dxa"/>
            <w:vAlign w:val="center"/>
          </w:tcPr>
          <w:p w14:paraId="46FA77D6">
            <w:pPr>
              <w:pStyle w:val="2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2.1在谈判文件规定的开标时间后，采购代理机构会在政采云系统发出解密指令，供应商在收到解密指令后，须使用加密响应文件时所使用的数字证书（CA）对已递交（上传）的电子响应文件进行解密（可远程解密）。</w:t>
            </w:r>
          </w:p>
          <w:p w14:paraId="3C02520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2.2电子响应文件解密时间：</w:t>
            </w:r>
            <w:r>
              <w:rPr>
                <w:rFonts w:hint="eastAsia" w:ascii="仿宋" w:hAnsi="仿宋" w:eastAsia="仿宋" w:cs="仿宋"/>
                <w:color w:val="auto"/>
                <w:sz w:val="21"/>
                <w:szCs w:val="21"/>
                <w:highlight w:val="none"/>
                <w:u w:val="single"/>
                <w:lang w:val="en-US" w:eastAsia="zh-CN"/>
              </w:rPr>
              <w:t xml:space="preserve"> 30</w:t>
            </w:r>
            <w:r>
              <w:rPr>
                <w:rFonts w:hint="eastAsia" w:ascii="仿宋" w:hAnsi="仿宋" w:eastAsia="仿宋" w:cs="仿宋"/>
                <w:color w:val="auto"/>
                <w:sz w:val="21"/>
                <w:szCs w:val="21"/>
                <w:highlight w:val="none"/>
                <w:lang w:val="en-US" w:eastAsia="zh-CN"/>
              </w:rPr>
              <w:t>分钟</w:t>
            </w:r>
          </w:p>
          <w:p w14:paraId="5822A15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2.3电子响应文件解密流程：使用用户名密码或电子CA登录政采云系统→项目采购→开标评标→找到对应项目→解密→输入CA密码→开始下载→解密完成。</w:t>
            </w:r>
          </w:p>
          <w:p w14:paraId="7DE6479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2.4因供应商原因造成响应文件未解密的，视为撤销其响应文件，包括以下情形：</w:t>
            </w:r>
          </w:p>
          <w:p w14:paraId="199F090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（1)供应商未在规定时间内解密响应文件的；</w:t>
            </w:r>
          </w:p>
          <w:p w14:paraId="745201E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（2)供应商使用非本次投标加密用CA数字证书解密的；</w:t>
            </w:r>
          </w:p>
          <w:p w14:paraId="5B15402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（3)供应商使用的CA数字证书属于注销或无效或损坏的。</w:t>
            </w:r>
          </w:p>
        </w:tc>
      </w:tr>
      <w:tr w14:paraId="13DE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B219D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3</w:t>
            </w:r>
          </w:p>
        </w:tc>
        <w:tc>
          <w:tcPr>
            <w:tcW w:w="1903" w:type="dxa"/>
            <w:vAlign w:val="center"/>
          </w:tcPr>
          <w:p w14:paraId="7241AF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电子化采购项目视为串通情形的认定</w:t>
            </w:r>
          </w:p>
        </w:tc>
        <w:tc>
          <w:tcPr>
            <w:tcW w:w="6533" w:type="dxa"/>
            <w:vAlign w:val="center"/>
          </w:tcPr>
          <w:p w14:paraId="307CDCD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3.1不同供应商的投标保证金转出账户的银行账户名称相同的属于《政府采购货物和服务招标投标管理办法》(财政部令第87号)第三十七条第(六)项“不同供应商的投标保证金从同一单位或者个人的账户转出”的情形。</w:t>
            </w:r>
          </w:p>
          <w:p w14:paraId="50F40B1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3.2系统记录的参加同一项目的不同供应商编制电子响应文件使用的计算机或上传电子响应文件使用的计算机网卡MAC地址、IP地址一致的，属于《政府采购货物和服务招标投标管理办法》(财政部令第87号)第三十七条第(一)项“不同供应商的响应文件由同一单位或者个人编制”的情形。</w:t>
            </w:r>
          </w:p>
          <w:p w14:paraId="41AB47D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3.3供应商上传的电子响应文件若出现使用本项目其他供应商的数字证书加密的或加盖本项目的其他供应商的电子印章的，属于《政府采购货物和服务招标投标管理办法》(财政部令第87号)第三十七条第(五)项“不同供应商的响应文件相互混装”的情形。</w:t>
            </w:r>
          </w:p>
          <w:p w14:paraId="51C7801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3.4出现上述情形的，属于《中华人民共和国政府采购法实施条例》第七十四条第(七)项“供应商与采购人或者采购代理机构之间、供应商相互之间，为谋求特定供应商中标、成交或者排斥其他供应商的其他串通行为”。</w:t>
            </w:r>
          </w:p>
        </w:tc>
      </w:tr>
      <w:tr w14:paraId="1B24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A21F9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4</w:t>
            </w:r>
          </w:p>
        </w:tc>
        <w:tc>
          <w:tcPr>
            <w:tcW w:w="1903" w:type="dxa"/>
            <w:vAlign w:val="center"/>
          </w:tcPr>
          <w:p w14:paraId="4A8C87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其他</w:t>
            </w:r>
          </w:p>
        </w:tc>
        <w:tc>
          <w:tcPr>
            <w:tcW w:w="6533" w:type="dxa"/>
            <w:vAlign w:val="center"/>
          </w:tcPr>
          <w:p w14:paraId="0357079A">
            <w:pPr>
              <w:pStyle w:val="26"/>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4.1本项目采购活动的全过程，均采用电子形式进行。在评审过程中，当政采云系统出现异常情形时，经请示财政部门同意后，采购代理机构可采用其他方式进行评审活动。</w:t>
            </w:r>
          </w:p>
          <w:p w14:paraId="11443C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4.2待系统恢复后，采购代理机构须把线下开启、评审结果数据录入政采云系统。</w:t>
            </w:r>
          </w:p>
        </w:tc>
      </w:tr>
    </w:tbl>
    <w:p w14:paraId="44ACBFAA">
      <w:pPr>
        <w:bidi w:val="0"/>
        <w:rPr>
          <w:rFonts w:hint="eastAsia"/>
          <w:highlight w:val="none"/>
        </w:rPr>
      </w:pPr>
    </w:p>
    <w:p w14:paraId="0B8B0769">
      <w:pPr>
        <w:bidi w:val="0"/>
        <w:jc w:val="center"/>
        <w:outlineLvl w:val="0"/>
        <w:rPr>
          <w:rFonts w:hint="eastAsia" w:ascii="仿宋" w:hAnsi="仿宋" w:eastAsia="仿宋" w:cs="仿宋"/>
          <w:b w:val="0"/>
          <w:bCs w:val="0"/>
          <w:color w:val="auto"/>
          <w:sz w:val="24"/>
          <w:szCs w:val="24"/>
          <w:highlight w:val="none"/>
        </w:rPr>
      </w:pPr>
      <w:r>
        <w:rPr>
          <w:rFonts w:hint="eastAsia"/>
          <w:highlight w:val="none"/>
        </w:rPr>
        <w:br w:type="page"/>
      </w:r>
      <w:bookmarkStart w:id="33" w:name="_Toc12275"/>
      <w:r>
        <w:rPr>
          <w:rFonts w:hint="eastAsia" w:ascii="仿宋" w:hAnsi="仿宋" w:eastAsia="仿宋" w:cs="仿宋"/>
          <w:b/>
          <w:color w:val="auto"/>
          <w:kern w:val="2"/>
          <w:sz w:val="24"/>
          <w:szCs w:val="24"/>
          <w:highlight w:val="none"/>
          <w:lang w:val="en-US" w:eastAsia="zh-CN" w:bidi="ar-SA"/>
        </w:rPr>
        <w:t>第三部分  供应商须知</w:t>
      </w:r>
      <w:bookmarkEnd w:id="32"/>
      <w:bookmarkEnd w:id="33"/>
    </w:p>
    <w:p w14:paraId="5F4B66F3">
      <w:pPr>
        <w:tabs>
          <w:tab w:val="left" w:pos="567"/>
        </w:tabs>
        <w:snapToGrid w:val="0"/>
        <w:spacing w:line="360" w:lineRule="auto"/>
        <w:ind w:firstLine="482" w:firstLineChars="200"/>
        <w:rPr>
          <w:rFonts w:hint="eastAsia" w:ascii="仿宋" w:hAnsi="仿宋" w:eastAsia="仿宋" w:cs="仿宋"/>
          <w:b/>
          <w:bCs/>
          <w:color w:val="auto"/>
          <w:kern w:val="0"/>
          <w:sz w:val="24"/>
          <w:szCs w:val="24"/>
          <w:highlight w:val="none"/>
        </w:rPr>
      </w:pPr>
      <w:bookmarkStart w:id="34" w:name="_Toc27796"/>
      <w:bookmarkStart w:id="35" w:name="_Toc466533577"/>
      <w:r>
        <w:rPr>
          <w:rFonts w:hint="eastAsia" w:ascii="仿宋" w:hAnsi="仿宋" w:eastAsia="仿宋" w:cs="仿宋"/>
          <w:b/>
          <w:bCs/>
          <w:color w:val="auto"/>
          <w:kern w:val="0"/>
          <w:sz w:val="24"/>
          <w:szCs w:val="24"/>
          <w:highlight w:val="none"/>
        </w:rPr>
        <w:t>一、总则</w:t>
      </w:r>
      <w:bookmarkEnd w:id="34"/>
      <w:bookmarkEnd w:id="35"/>
    </w:p>
    <w:p w14:paraId="678B29E0">
      <w:pPr>
        <w:tabs>
          <w:tab w:val="left" w:pos="567"/>
        </w:tabs>
        <w:snapToGrid w:val="0"/>
        <w:spacing w:line="360" w:lineRule="auto"/>
        <w:ind w:firstLine="482" w:firstLineChars="2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1.适用范围</w:t>
      </w:r>
    </w:p>
    <w:p w14:paraId="7F4EB927">
      <w:pPr>
        <w:tabs>
          <w:tab w:val="left" w:pos="567"/>
        </w:tabs>
        <w:snapToGri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本竞争性谈判文件适用于本次谈判活动的全过程。</w:t>
      </w:r>
    </w:p>
    <w:p w14:paraId="0D57D7EE">
      <w:pPr>
        <w:tabs>
          <w:tab w:val="left" w:pos="567"/>
        </w:tabs>
        <w:snapToGrid w:val="0"/>
        <w:spacing w:line="360" w:lineRule="auto"/>
        <w:ind w:firstLine="482" w:firstLineChars="2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2.定义</w:t>
      </w:r>
    </w:p>
    <w:p w14:paraId="01DAFD1E">
      <w:pPr>
        <w:tabs>
          <w:tab w:val="left" w:pos="567"/>
        </w:tabs>
        <w:snapToGrid w:val="0"/>
        <w:spacing w:line="360" w:lineRule="auto"/>
        <w:ind w:firstLine="480" w:firstLineChars="200"/>
        <w:rPr>
          <w:rFonts w:hint="eastAsia" w:ascii="仿宋" w:hAnsi="仿宋" w:eastAsia="仿宋" w:cs="仿宋"/>
          <w:color w:val="auto"/>
          <w:kern w:val="0"/>
          <w:sz w:val="24"/>
          <w:szCs w:val="24"/>
          <w:highlight w:val="none"/>
          <w:u w:val="none"/>
        </w:rPr>
      </w:pPr>
      <w:r>
        <w:rPr>
          <w:rFonts w:hint="eastAsia" w:ascii="仿宋" w:hAnsi="仿宋" w:eastAsia="仿宋" w:cs="仿宋"/>
          <w:color w:val="auto"/>
          <w:kern w:val="0"/>
          <w:sz w:val="24"/>
          <w:szCs w:val="24"/>
          <w:highlight w:val="none"/>
        </w:rPr>
        <w:t>2.1采购人：指依法进行本次谈判活动的采购单位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即</w:t>
      </w:r>
      <w:r>
        <w:rPr>
          <w:rFonts w:hint="eastAsia" w:ascii="仿宋" w:hAnsi="仿宋" w:eastAsia="仿宋" w:cs="仿宋"/>
          <w:color w:val="auto"/>
          <w:kern w:val="0"/>
          <w:sz w:val="24"/>
          <w:szCs w:val="24"/>
          <w:highlight w:val="none"/>
          <w:u w:val="none"/>
        </w:rPr>
        <w:t>：</w:t>
      </w:r>
      <w:r>
        <w:rPr>
          <w:rFonts w:hint="eastAsia" w:ascii="仿宋" w:hAnsi="仿宋" w:eastAsia="仿宋" w:cs="仿宋"/>
          <w:color w:val="auto"/>
          <w:kern w:val="0"/>
          <w:sz w:val="24"/>
          <w:szCs w:val="24"/>
          <w:highlight w:val="none"/>
          <w:u w:val="none"/>
          <w:lang w:eastAsia="zh-CN"/>
        </w:rPr>
        <w:t>山西大学</w:t>
      </w:r>
      <w:r>
        <w:rPr>
          <w:rFonts w:hint="eastAsia" w:ascii="仿宋" w:hAnsi="仿宋" w:eastAsia="仿宋" w:cs="仿宋"/>
          <w:color w:val="auto"/>
          <w:kern w:val="0"/>
          <w:sz w:val="24"/>
          <w:szCs w:val="24"/>
          <w:highlight w:val="none"/>
          <w:u w:val="none"/>
        </w:rPr>
        <w:t>。</w:t>
      </w:r>
    </w:p>
    <w:p w14:paraId="7BFF1DDD">
      <w:pPr>
        <w:tabs>
          <w:tab w:val="left" w:pos="567"/>
        </w:tabs>
        <w:snapToGri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kern w:val="0"/>
          <w:sz w:val="24"/>
          <w:szCs w:val="24"/>
          <w:highlight w:val="none"/>
        </w:rPr>
        <w:t>代理机构：指在采购人委托的范围内依法开展采购活动，组织本次谈判活动的执行机构，即“</w:t>
      </w:r>
      <w:r>
        <w:rPr>
          <w:rFonts w:hint="eastAsia" w:ascii="仿宋" w:hAnsi="仿宋" w:eastAsia="仿宋" w:cs="仿宋"/>
          <w:color w:val="auto"/>
          <w:kern w:val="0"/>
          <w:sz w:val="24"/>
          <w:szCs w:val="24"/>
          <w:highlight w:val="none"/>
          <w:lang w:eastAsia="zh-CN"/>
        </w:rPr>
        <w:t>山西众易诚企业管理咨询有限公司</w:t>
      </w:r>
      <w:r>
        <w:rPr>
          <w:rFonts w:hint="eastAsia" w:ascii="仿宋" w:hAnsi="仿宋" w:eastAsia="仿宋" w:cs="仿宋"/>
          <w:color w:val="auto"/>
          <w:kern w:val="0"/>
          <w:sz w:val="24"/>
          <w:szCs w:val="24"/>
          <w:highlight w:val="none"/>
        </w:rPr>
        <w:t>”。</w:t>
      </w:r>
    </w:p>
    <w:p w14:paraId="551129DA">
      <w:pPr>
        <w:tabs>
          <w:tab w:val="left" w:pos="567"/>
        </w:tabs>
        <w:snapToGri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2.3供应商：指参加本次谈判活动的法人、其他组织或者自然人。</w:t>
      </w:r>
    </w:p>
    <w:p w14:paraId="354E3CEB">
      <w:pPr>
        <w:tabs>
          <w:tab w:val="left" w:pos="567"/>
        </w:tabs>
        <w:snapToGrid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2.4潜在供应商：指符合本竞争性谈判文件各项规定的供应商。</w:t>
      </w:r>
    </w:p>
    <w:p w14:paraId="7B613D7F">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szCs w:val="24"/>
          <w:highlight w:val="none"/>
        </w:rPr>
        <w:t>2.5报价人：指符合本竞争</w:t>
      </w:r>
      <w:r>
        <w:rPr>
          <w:rFonts w:hint="eastAsia" w:ascii="仿宋" w:hAnsi="仿宋" w:eastAsia="仿宋" w:cs="仿宋"/>
          <w:color w:val="auto"/>
          <w:kern w:val="0"/>
          <w:sz w:val="24"/>
          <w:highlight w:val="none"/>
        </w:rPr>
        <w:t>性谈判文件规定向代理机构递交响应文件并参加谈判的供应商。</w:t>
      </w:r>
    </w:p>
    <w:p w14:paraId="35C1CEE5">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2.6货物：指供应商按竞争性谈判文件的规定，向采购人提供的各种物品及其他有关技术资料和材料。</w:t>
      </w:r>
    </w:p>
    <w:p w14:paraId="70A5D813">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2.7服务：指竞争性谈判文件所表述的供应商须向采购人提供的服务和应当履行的承诺和义务。指如货物的运输等以及本竞争性谈判文件和合同中规定由供应商承担的其他义务。</w:t>
      </w:r>
    </w:p>
    <w:p w14:paraId="23A87E6B">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2.8竞争性谈判文件：是根据相关法律法规和采购人采购需求制定的向潜在供应商发出并告知项目需求、谈判活动规则和合同草案等信息的要约文件，是项目谈判活动的主要依据，对谈判活动各方均具有法律约束力。</w:t>
      </w:r>
    </w:p>
    <w:p w14:paraId="29AB3374">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2.9响应文件：是指供应商应竞争性谈判文件的条件和要求，按规定编制并按时递交的文件。</w:t>
      </w:r>
    </w:p>
    <w:p w14:paraId="240AE977">
      <w:pPr>
        <w:tabs>
          <w:tab w:val="left" w:pos="0"/>
        </w:tabs>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3.合格供应商的条件</w:t>
      </w:r>
    </w:p>
    <w:p w14:paraId="01B30077">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3.1参加本次采购活动的供应商应当具备《中华人民共和国政府采购法》第二十二条具备的条件，并根据《中华人民共和国政府采购法实施条例》第十七条的规定，提供供应商须知前附表第10项要求的资格证明文件。</w:t>
      </w:r>
    </w:p>
    <w:p w14:paraId="165EDBC5">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3.2单位负责人为同一人或者存在控股、管理关系的不同单位，不得同时参加本项目同一包的谈判。</w:t>
      </w:r>
    </w:p>
    <w:p w14:paraId="0288E483">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3.3为本项目提供整体设计、规范编制或者项目管理、监理、检测等服务的供应商，不得再参加本项目的谈判。</w:t>
      </w:r>
    </w:p>
    <w:p w14:paraId="1270C7D3">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3.4若本项目允许联合体参加谈判，需具备下列条件：</w:t>
      </w:r>
    </w:p>
    <w:p w14:paraId="6ACE1F90">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3.4.1联合体各方均应当符合《中华人民共和国政府采购法》第二十二条规定的条件，联合体各方均应按照本部分3.1条的要求提供相关材料。</w:t>
      </w:r>
    </w:p>
    <w:p w14:paraId="0E6B9A14">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3.4.2采购人根据采购项目的特殊性规定供应商特殊要求和法律、行政法规规定的其他条件的，联合体各方中至少应当有一方符合采购人规定的条件。联合体各方的同类资质按照资质等级较低的确定联合体资质等级。联合体各方不得再单独参加或者与其他供应商另外组成联合体参加本项目同一合同项下的谈判。</w:t>
      </w:r>
    </w:p>
    <w:p w14:paraId="2FB35E45">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3.4.3联合体各方之间应当签订联合谈判协议，明确约定联合体各方承担的工作和相应的责任，并将联合谈判协议连同响应文件一并提交，联合谈判协议格式见本竞争性谈判文件第七部分。</w:t>
      </w:r>
    </w:p>
    <w:p w14:paraId="72E1850C">
      <w:pPr>
        <w:tabs>
          <w:tab w:val="left" w:pos="567"/>
        </w:tabs>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4.谈判费用</w:t>
      </w:r>
    </w:p>
    <w:p w14:paraId="72A5314B">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供应商应承担所有与准备和参加谈判有关的费用，采购人和代理机构在任何情况下均无义务和责任承担这些费用。</w:t>
      </w:r>
    </w:p>
    <w:p w14:paraId="4760CB04">
      <w:pPr>
        <w:tabs>
          <w:tab w:val="left" w:pos="567"/>
        </w:tabs>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5.谈判要求</w:t>
      </w:r>
    </w:p>
    <w:p w14:paraId="52844D4D">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供应商所提供的货物、所需服务与技术方案被采购人采用时，</w:t>
      </w:r>
      <w:r>
        <w:rPr>
          <w:rFonts w:hint="eastAsia" w:ascii="仿宋" w:hAnsi="仿宋" w:eastAsia="仿宋" w:cs="仿宋"/>
          <w:color w:val="auto"/>
          <w:kern w:val="0"/>
          <w:sz w:val="24"/>
          <w:highlight w:val="none"/>
          <w:lang w:eastAsia="zh-CN"/>
        </w:rPr>
        <w:t>成交供应商</w:t>
      </w:r>
      <w:r>
        <w:rPr>
          <w:rFonts w:hint="eastAsia" w:ascii="仿宋" w:hAnsi="仿宋" w:eastAsia="仿宋" w:cs="仿宋"/>
          <w:color w:val="auto"/>
          <w:kern w:val="0"/>
          <w:sz w:val="24"/>
          <w:highlight w:val="none"/>
        </w:rPr>
        <w:t>应负责免费将甲方所需货物送至采购人指定位置，免费进行搬运，并认真履行合同规定的相关条款。</w:t>
      </w:r>
    </w:p>
    <w:p w14:paraId="752C49ED">
      <w:pPr>
        <w:tabs>
          <w:tab w:val="left" w:pos="567"/>
        </w:tabs>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6.通知</w:t>
      </w:r>
    </w:p>
    <w:p w14:paraId="0CBCEFF5">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color w:val="auto"/>
          <w:kern w:val="0"/>
          <w:sz w:val="24"/>
          <w:highlight w:val="none"/>
        </w:rPr>
        <w:t>对与本项目有关的通知，代理机构将在政采云系统中上传通知，因线路故障导致通知延迟或无法查看，代理机构或采购方将不承担任何责任，有关的谈判活动可以继续有效地进行。</w:t>
      </w:r>
    </w:p>
    <w:p w14:paraId="1DB68200">
      <w:pPr>
        <w:tabs>
          <w:tab w:val="left" w:pos="567"/>
        </w:tabs>
        <w:snapToGrid w:val="0"/>
        <w:spacing w:line="360" w:lineRule="auto"/>
        <w:ind w:firstLine="482" w:firstLineChars="200"/>
        <w:rPr>
          <w:rFonts w:hint="eastAsia" w:ascii="仿宋" w:hAnsi="仿宋" w:eastAsia="仿宋" w:cs="仿宋"/>
          <w:b/>
          <w:color w:val="auto"/>
          <w:kern w:val="0"/>
          <w:sz w:val="24"/>
          <w:highlight w:val="none"/>
        </w:rPr>
      </w:pPr>
      <w:bookmarkStart w:id="36" w:name="_Toc466533578"/>
      <w:bookmarkStart w:id="37" w:name="_Toc15366"/>
      <w:r>
        <w:rPr>
          <w:rFonts w:hint="eastAsia" w:ascii="仿宋" w:hAnsi="仿宋" w:eastAsia="仿宋" w:cs="仿宋"/>
          <w:b/>
          <w:color w:val="auto"/>
          <w:kern w:val="0"/>
          <w:sz w:val="24"/>
          <w:highlight w:val="none"/>
        </w:rPr>
        <w:t>二、</w:t>
      </w:r>
      <w:bookmarkEnd w:id="36"/>
      <w:r>
        <w:rPr>
          <w:rFonts w:hint="eastAsia" w:ascii="仿宋" w:hAnsi="仿宋" w:eastAsia="仿宋" w:cs="仿宋"/>
          <w:b/>
          <w:color w:val="auto"/>
          <w:kern w:val="0"/>
          <w:sz w:val="24"/>
          <w:highlight w:val="none"/>
        </w:rPr>
        <w:t>竞争性谈判文件</w:t>
      </w:r>
      <w:bookmarkEnd w:id="37"/>
    </w:p>
    <w:p w14:paraId="6350E54F">
      <w:pPr>
        <w:tabs>
          <w:tab w:val="left" w:pos="567"/>
        </w:tabs>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7.竞争性谈判文件的内容</w:t>
      </w:r>
    </w:p>
    <w:p w14:paraId="14701271">
      <w:pPr>
        <w:tabs>
          <w:tab w:val="left" w:pos="567"/>
        </w:tabs>
        <w:snapToGrid/>
        <w:spacing w:line="360" w:lineRule="auto"/>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7.1竞争性谈判文件由下列七部分内容组成：</w:t>
      </w:r>
    </w:p>
    <w:p w14:paraId="2D3C3E5A">
      <w:pPr>
        <w:tabs>
          <w:tab w:val="left" w:pos="567"/>
        </w:tabs>
        <w:snapToGrid/>
        <w:spacing w:line="360" w:lineRule="auto"/>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第一部分  谈判公告；</w:t>
      </w:r>
    </w:p>
    <w:p w14:paraId="62690C66">
      <w:pPr>
        <w:tabs>
          <w:tab w:val="left" w:pos="567"/>
        </w:tabs>
        <w:snapToGrid/>
        <w:spacing w:line="360" w:lineRule="auto"/>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第二部分  供应商须知前附表；</w:t>
      </w:r>
    </w:p>
    <w:p w14:paraId="43337AB4">
      <w:pPr>
        <w:tabs>
          <w:tab w:val="left" w:pos="567"/>
        </w:tabs>
        <w:snapToGrid/>
        <w:spacing w:line="360" w:lineRule="auto"/>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第三部分  供应商须知；</w:t>
      </w:r>
    </w:p>
    <w:p w14:paraId="288C22BE">
      <w:pPr>
        <w:tabs>
          <w:tab w:val="left" w:pos="567"/>
        </w:tabs>
        <w:snapToGrid/>
        <w:spacing w:line="360" w:lineRule="auto"/>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 xml:space="preserve">第四部分  评审标准和方法； </w:t>
      </w:r>
    </w:p>
    <w:p w14:paraId="6BBCFF68">
      <w:pPr>
        <w:tabs>
          <w:tab w:val="left" w:pos="567"/>
        </w:tabs>
        <w:snapToGrid/>
        <w:spacing w:line="360" w:lineRule="auto"/>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第五部分  商务、技术要求；</w:t>
      </w:r>
    </w:p>
    <w:p w14:paraId="07B5A5F2">
      <w:pPr>
        <w:tabs>
          <w:tab w:val="left" w:pos="567"/>
        </w:tabs>
        <w:snapToGrid/>
        <w:spacing w:line="360" w:lineRule="auto"/>
        <w:ind w:firstLine="480" w:firstLineChars="200"/>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第六部分  政府采购合同</w:t>
      </w:r>
      <w:r>
        <w:rPr>
          <w:rFonts w:hint="eastAsia" w:ascii="仿宋" w:hAnsi="仿宋" w:eastAsia="仿宋" w:cs="仿宋"/>
          <w:color w:val="auto"/>
          <w:kern w:val="0"/>
          <w:sz w:val="24"/>
          <w:szCs w:val="24"/>
          <w:highlight w:val="none"/>
          <w:lang w:val="en-US" w:eastAsia="zh-CN" w:bidi="ar-SA"/>
        </w:rPr>
        <w:t>；</w:t>
      </w:r>
    </w:p>
    <w:p w14:paraId="3D34F5A8">
      <w:pPr>
        <w:pStyle w:val="27"/>
        <w:spacing w:line="360" w:lineRule="auto"/>
        <w:ind w:left="0" w:firstLine="480" w:firstLineChars="200"/>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第七部分  响应文件格式；</w:t>
      </w:r>
    </w:p>
    <w:p w14:paraId="2C491762">
      <w:pPr>
        <w:pStyle w:val="27"/>
        <w:spacing w:line="360" w:lineRule="auto"/>
        <w:ind w:left="0" w:firstLine="480" w:firstLineChars="200"/>
        <w:jc w:val="both"/>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第八部分  政策性要求（如有）。</w:t>
      </w:r>
    </w:p>
    <w:p w14:paraId="348C14E3">
      <w:pPr>
        <w:pStyle w:val="27"/>
        <w:spacing w:line="360" w:lineRule="auto"/>
        <w:ind w:left="0" w:firstLine="480" w:firstLineChars="200"/>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7.2供应商应详细阅读竞争性谈判文件的全部内容。如果没有按照竞争性谈判文件要求提交全部资料或者没有对竞争性谈判文件在各方面都做出实质性响应，有可能被确定为响应无效。</w:t>
      </w:r>
    </w:p>
    <w:p w14:paraId="192BBA65">
      <w:pPr>
        <w:pStyle w:val="27"/>
        <w:spacing w:line="360" w:lineRule="auto"/>
        <w:ind w:left="0" w:firstLine="480" w:firstLineChars="200"/>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7.3除非特殊要求，竞争性谈判文件不单独提供采购项目使用地的自然环境、气候条件、公用设施等情况，供应商被视为熟悉上述与履行合同有关的一切情况。</w:t>
      </w:r>
    </w:p>
    <w:p w14:paraId="1749EFFE">
      <w:pPr>
        <w:pStyle w:val="27"/>
        <w:spacing w:line="360" w:lineRule="auto"/>
        <w:ind w:left="0" w:firstLine="480" w:firstLineChars="200"/>
        <w:jc w:val="both"/>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7.4竞争性谈判文件的解释权归代理机构。当对一个问题有多种解释时以代理机构的解释为准。</w:t>
      </w:r>
    </w:p>
    <w:p w14:paraId="5EE58639">
      <w:pPr>
        <w:pStyle w:val="27"/>
        <w:spacing w:line="360" w:lineRule="auto"/>
        <w:ind w:left="0" w:firstLine="480" w:firstLineChars="200"/>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7.5竞争性谈判文件未作须知明示，而又有法律、法规规定的，代理机构将依据相关法律法规的规定进行解释。</w:t>
      </w:r>
    </w:p>
    <w:p w14:paraId="16CAC68A">
      <w:pPr>
        <w:pStyle w:val="27"/>
        <w:spacing w:line="360" w:lineRule="auto"/>
        <w:ind w:left="0" w:firstLine="482" w:firstLineChars="200"/>
        <w:jc w:val="both"/>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8.竞争性谈判文件的澄清和修改</w:t>
      </w:r>
    </w:p>
    <w:p w14:paraId="05B262A7">
      <w:pPr>
        <w:pStyle w:val="27"/>
        <w:spacing w:line="360" w:lineRule="auto"/>
        <w:ind w:left="0" w:firstLine="480" w:firstLineChars="200"/>
        <w:jc w:val="both"/>
        <w:rPr>
          <w:rFonts w:hint="eastAsia" w:ascii="仿宋" w:hAnsi="仿宋" w:eastAsia="仿宋" w:cs="仿宋"/>
          <w:color w:val="auto"/>
          <w:kern w:val="0"/>
          <w:sz w:val="24"/>
          <w:szCs w:val="24"/>
          <w:highlight w:val="none"/>
          <w:lang w:val="en-US" w:eastAsia="zh-CN" w:bidi="ar-SA"/>
        </w:rPr>
      </w:pPr>
      <w:bookmarkStart w:id="38" w:name="_Toc466533579"/>
      <w:r>
        <w:rPr>
          <w:rFonts w:hint="eastAsia" w:ascii="仿宋" w:hAnsi="仿宋" w:eastAsia="仿宋" w:cs="仿宋"/>
          <w:color w:val="auto"/>
          <w:kern w:val="0"/>
          <w:sz w:val="24"/>
          <w:szCs w:val="24"/>
          <w:highlight w:val="none"/>
          <w:lang w:val="en-US" w:eastAsia="zh-CN" w:bidi="ar-SA"/>
        </w:rPr>
        <w:t>8.1澄清或修改时间及处理：提交首次响应文件截止日（响应文件开启时间，下同）之前，代理机构或采购人可以对已发出的谈判文件进行必要的澄清或修改，其内容作为谈判文件的组成部分。所澄清或修改内容可能影响响应文件编制的，代理机构或采购人应当在提交首次响应文件截止时间至少3个工作日，以公告形式在中国政府采购网山西分网发布变更公告。不足3个工作日的，应当顺延提交首次响应文件截止时间。</w:t>
      </w:r>
    </w:p>
    <w:p w14:paraId="040D2663">
      <w:pPr>
        <w:pStyle w:val="27"/>
        <w:spacing w:line="360" w:lineRule="auto"/>
        <w:ind w:left="0" w:firstLine="480" w:firstLineChars="200"/>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8.2澄清修改的补充文件中包括原提出的问题及问题的说明意见，但不包括问题的来源。</w:t>
      </w:r>
    </w:p>
    <w:p w14:paraId="2910A1BB">
      <w:pPr>
        <w:pStyle w:val="27"/>
        <w:spacing w:line="360" w:lineRule="auto"/>
        <w:ind w:left="0" w:firstLine="480" w:firstLineChars="200"/>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8.3供应商澄清、询问时间及方式：任何已登记备案并领取了竞争性谈判文件的潜在供应商，均应在首次提交响应文件截止时间3个工作日前对竞争性谈判文件进行澄清、询问，并以书面形式（包括书面材料、信函、传真，下同）送达代理机构。</w:t>
      </w:r>
    </w:p>
    <w:p w14:paraId="42D8B744">
      <w:pPr>
        <w:pStyle w:val="27"/>
        <w:spacing w:line="360" w:lineRule="auto"/>
        <w:ind w:left="0" w:firstLine="480" w:firstLineChars="200"/>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8.4澄清、修改及其它答复的效力：代理机构（或采购人）一旦对竞争性谈判文件做出澄清或修改，即发生效力，代理机构（或采购人）有关的补充文件，应当作为竞争性谈判文件的组成部分，对所有供应商均具有约束力。</w:t>
      </w:r>
    </w:p>
    <w:p w14:paraId="76B769ED">
      <w:pPr>
        <w:pStyle w:val="27"/>
        <w:spacing w:line="360" w:lineRule="auto"/>
        <w:ind w:left="0" w:firstLine="480" w:firstLineChars="200"/>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8.5采购人或者采购代理机构可以在竞争性谈判文件提供期限截止后，组织已获取竞争性谈判文件的潜在供应商现场考察或者召开标前答疑会。是否组织现场考察或者召开答疑会的，详见供应商须知前附表第15项。而无论代理机构是否安排踏勘现场，潜在供应商均应当将相关的因素作为报价所应当考虑或依据的因素。</w:t>
      </w:r>
    </w:p>
    <w:p w14:paraId="219DCC6D">
      <w:pPr>
        <w:tabs>
          <w:tab w:val="left" w:pos="567"/>
        </w:tabs>
        <w:snapToGrid w:val="0"/>
        <w:spacing w:line="360" w:lineRule="auto"/>
        <w:ind w:firstLine="482" w:firstLineChars="200"/>
        <w:outlineLvl w:val="9"/>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三、</w:t>
      </w:r>
      <w:bookmarkEnd w:id="38"/>
      <w:r>
        <w:rPr>
          <w:rFonts w:hint="eastAsia" w:ascii="仿宋" w:hAnsi="仿宋" w:eastAsia="仿宋" w:cs="仿宋"/>
          <w:b/>
          <w:color w:val="auto"/>
          <w:sz w:val="24"/>
          <w:highlight w:val="none"/>
        </w:rPr>
        <w:t>响应文件</w:t>
      </w:r>
    </w:p>
    <w:p w14:paraId="0D545524">
      <w:pPr>
        <w:tabs>
          <w:tab w:val="left" w:pos="0"/>
        </w:tabs>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9.响应文件的语言和计量单位</w:t>
      </w:r>
    </w:p>
    <w:p w14:paraId="4958C290">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9.1供应商提交的响应文件（包括技术文件和资料、图纸中的说明）以及供应商与代理机构就有关报价的所有来往函电均应使用中文简体字。</w:t>
      </w:r>
    </w:p>
    <w:p w14:paraId="513F4A5E">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9.2响应文件所使用的计量单位，应使用国家法定计量单位。</w:t>
      </w:r>
    </w:p>
    <w:p w14:paraId="298FC6EF">
      <w:pPr>
        <w:tabs>
          <w:tab w:val="left" w:pos="567"/>
        </w:tabs>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9.3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否则，产生的不利后果由供应商承担。</w:t>
      </w:r>
    </w:p>
    <w:p w14:paraId="77E4D1FC">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原版为外文的证书类、证明类文件，与供应商名称或其它实际情况不符的，供应商应当提供相关证明文件。</w:t>
      </w:r>
    </w:p>
    <w:p w14:paraId="4D2DE2BE">
      <w:pPr>
        <w:tabs>
          <w:tab w:val="left" w:pos="0"/>
        </w:tabs>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10.响应文件的组成及相关要求</w:t>
      </w:r>
    </w:p>
    <w:p w14:paraId="42217AB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color w:val="auto"/>
          <w:kern w:val="0"/>
          <w:sz w:val="24"/>
          <w:highlight w:val="none"/>
        </w:rPr>
        <w:t>10.1响应文件分为资格证明文件和商务、技术文件。</w:t>
      </w:r>
    </w:p>
    <w:p w14:paraId="179F549D">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资格证明文件指供应商按竞争性谈判文件要求提交的证明其有资格参加谈判的文件。</w:t>
      </w:r>
    </w:p>
    <w:p w14:paraId="4D990C5B">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商务、技术文件指供应商提交的能够证明其成交后有能力履行合同的文件和提供的货物符合竞争性谈判文件规定和政策性要求的文件。</w:t>
      </w:r>
    </w:p>
    <w:p w14:paraId="6BAAF456">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本次谈判，供应商应按竞争性谈判文件供应商须知前附表要求，提交资格证明文件和商务、技术文件及供应商自行编写的其他文件。资格证明文件、商务技术文件中的加“★”项、政策性要求中国家强制性因素若有缺失或无效或商务技术文件未实质上响应竞争性谈判文件要求，将作无效报价处理。</w:t>
      </w:r>
    </w:p>
    <w:p w14:paraId="47CBF50F">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10.2响应文件其他要求</w:t>
      </w:r>
    </w:p>
    <w:p w14:paraId="2DF40588">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10.2.1编排要求</w:t>
      </w:r>
    </w:p>
    <w:p w14:paraId="51F7CD53">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电子响应文件按照“</w:t>
      </w:r>
      <w:r>
        <w:rPr>
          <w:rFonts w:hint="eastAsia" w:ascii="仿宋" w:hAnsi="仿宋" w:eastAsia="仿宋" w:cs="仿宋"/>
          <w:color w:val="auto"/>
          <w:sz w:val="24"/>
          <w:highlight w:val="none"/>
          <w:lang w:val="en-US" w:eastAsia="zh-CN"/>
        </w:rPr>
        <w:t>山西省政府采购网</w:t>
      </w:r>
      <w:r>
        <w:rPr>
          <w:rFonts w:hint="eastAsia" w:ascii="仿宋" w:hAnsi="仿宋" w:eastAsia="仿宋" w:cs="仿宋"/>
          <w:color w:val="auto"/>
          <w:kern w:val="0"/>
          <w:sz w:val="24"/>
          <w:highlight w:val="none"/>
        </w:rPr>
        <w:t>”系统要求，逐条上传。由于编排混乱导致响应文件被误读或查找不到，其责任应当由供应商承担。</w:t>
      </w:r>
    </w:p>
    <w:p w14:paraId="441A2E6A">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10.2.2格式要求</w:t>
      </w:r>
    </w:p>
    <w:p w14:paraId="3480F044">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本竞争性谈判文件第七部分已提供“响应文件格式”的，需按照格式要求编制和上传（供应商可以对所提供的格式进行扩展，但不得更改格式内容），没有提供格式的供应商自拟。</w:t>
      </w:r>
    </w:p>
    <w:p w14:paraId="349533A5">
      <w:pPr>
        <w:snapToGrid w:val="0"/>
        <w:spacing w:line="360" w:lineRule="auto"/>
        <w:ind w:firstLine="482" w:firstLineChars="200"/>
        <w:rPr>
          <w:rFonts w:hint="eastAsia" w:ascii="仿宋" w:hAnsi="仿宋" w:eastAsia="仿宋" w:cs="仿宋"/>
          <w:b/>
          <w:bCs/>
          <w:strike w:val="0"/>
          <w:color w:val="auto"/>
          <w:kern w:val="0"/>
          <w:sz w:val="24"/>
          <w:highlight w:val="none"/>
        </w:rPr>
      </w:pPr>
      <w:r>
        <w:rPr>
          <w:rFonts w:hint="eastAsia" w:ascii="仿宋" w:hAnsi="仿宋" w:eastAsia="仿宋" w:cs="仿宋"/>
          <w:b/>
          <w:bCs/>
          <w:strike w:val="0"/>
          <w:color w:val="auto"/>
          <w:kern w:val="0"/>
          <w:sz w:val="24"/>
          <w:highlight w:val="none"/>
        </w:rPr>
        <w:t>如供应商参加多包谈判的，要求按包分别独立制作响应文件。</w:t>
      </w:r>
    </w:p>
    <w:p w14:paraId="76FC4F29">
      <w:pPr>
        <w:snapToGrid w:val="0"/>
        <w:spacing w:line="360" w:lineRule="auto"/>
        <w:ind w:firstLine="480" w:firstLineChars="200"/>
        <w:rPr>
          <w:rFonts w:hint="eastAsia" w:ascii="仿宋" w:hAnsi="仿宋" w:eastAsia="仿宋" w:cs="仿宋"/>
          <w:b w:val="0"/>
          <w:bCs w:val="0"/>
          <w:strike w:val="0"/>
          <w:color w:val="auto"/>
          <w:kern w:val="0"/>
          <w:sz w:val="24"/>
          <w:highlight w:val="none"/>
        </w:rPr>
      </w:pPr>
      <w:r>
        <w:rPr>
          <w:rFonts w:hint="eastAsia" w:ascii="仿宋" w:hAnsi="仿宋" w:eastAsia="仿宋" w:cs="仿宋"/>
          <w:b w:val="0"/>
          <w:bCs w:val="0"/>
          <w:strike w:val="0"/>
          <w:color w:val="auto"/>
          <w:kern w:val="0"/>
          <w:sz w:val="24"/>
          <w:highlight w:val="none"/>
          <w:lang w:val="en-US" w:eastAsia="zh-CN"/>
        </w:rPr>
        <w:t>10</w:t>
      </w:r>
      <w:r>
        <w:rPr>
          <w:rFonts w:hint="eastAsia" w:ascii="仿宋" w:hAnsi="仿宋" w:eastAsia="仿宋" w:cs="仿宋"/>
          <w:b w:val="0"/>
          <w:bCs w:val="0"/>
          <w:strike w:val="0"/>
          <w:color w:val="auto"/>
          <w:kern w:val="0"/>
          <w:sz w:val="24"/>
          <w:highlight w:val="none"/>
        </w:rPr>
        <w:t>.2.3响应文件的份数、加密</w:t>
      </w:r>
    </w:p>
    <w:p w14:paraId="7FA16ABC">
      <w:pPr>
        <w:snapToGrid w:val="0"/>
        <w:spacing w:line="360" w:lineRule="auto"/>
        <w:ind w:firstLine="480" w:firstLineChars="200"/>
        <w:rPr>
          <w:rFonts w:hint="eastAsia" w:ascii="仿宋" w:hAnsi="仿宋" w:eastAsia="仿宋" w:cs="仿宋"/>
          <w:b w:val="0"/>
          <w:bCs w:val="0"/>
          <w:strike w:val="0"/>
          <w:color w:val="auto"/>
          <w:kern w:val="0"/>
          <w:sz w:val="24"/>
          <w:highlight w:val="none"/>
        </w:rPr>
      </w:pPr>
      <w:r>
        <w:rPr>
          <w:rFonts w:hint="eastAsia" w:ascii="仿宋" w:hAnsi="仿宋" w:eastAsia="仿宋" w:cs="仿宋"/>
          <w:b w:val="0"/>
          <w:bCs w:val="0"/>
          <w:strike w:val="0"/>
          <w:color w:val="auto"/>
          <w:kern w:val="0"/>
          <w:sz w:val="24"/>
          <w:highlight w:val="none"/>
          <w:lang w:val="en-US" w:eastAsia="zh-CN"/>
        </w:rPr>
        <w:t>10</w:t>
      </w:r>
      <w:r>
        <w:rPr>
          <w:rFonts w:hint="eastAsia" w:ascii="仿宋" w:hAnsi="仿宋" w:eastAsia="仿宋" w:cs="仿宋"/>
          <w:b w:val="0"/>
          <w:bCs w:val="0"/>
          <w:strike w:val="0"/>
          <w:color w:val="auto"/>
          <w:kern w:val="0"/>
          <w:sz w:val="24"/>
          <w:highlight w:val="none"/>
        </w:rPr>
        <w:t>.2.3.1响应文件的份数</w:t>
      </w:r>
    </w:p>
    <w:p w14:paraId="1444E71D">
      <w:pPr>
        <w:snapToGrid w:val="0"/>
        <w:spacing w:line="360" w:lineRule="auto"/>
        <w:ind w:firstLine="480" w:firstLineChars="200"/>
        <w:rPr>
          <w:rFonts w:hint="eastAsia" w:ascii="仿宋" w:hAnsi="仿宋" w:eastAsia="仿宋" w:cs="仿宋"/>
          <w:b w:val="0"/>
          <w:bCs w:val="0"/>
          <w:strike w:val="0"/>
          <w:color w:val="auto"/>
          <w:kern w:val="0"/>
          <w:sz w:val="24"/>
          <w:highlight w:val="none"/>
        </w:rPr>
      </w:pPr>
      <w:r>
        <w:rPr>
          <w:rFonts w:hint="eastAsia" w:ascii="仿宋" w:hAnsi="仿宋" w:eastAsia="仿宋" w:cs="仿宋"/>
          <w:b w:val="0"/>
          <w:bCs w:val="0"/>
          <w:strike w:val="0"/>
          <w:color w:val="auto"/>
          <w:kern w:val="0"/>
          <w:sz w:val="24"/>
          <w:highlight w:val="none"/>
        </w:rPr>
        <w:t>本次谈判须提交的响应文件份数详见供应商须知前附表。</w:t>
      </w:r>
    </w:p>
    <w:p w14:paraId="54514B15">
      <w:pPr>
        <w:snapToGrid w:val="0"/>
        <w:spacing w:line="360" w:lineRule="auto"/>
        <w:ind w:firstLine="480" w:firstLineChars="200"/>
        <w:rPr>
          <w:rFonts w:hint="eastAsia" w:ascii="仿宋" w:hAnsi="仿宋" w:eastAsia="仿宋" w:cs="仿宋"/>
          <w:b w:val="0"/>
          <w:bCs w:val="0"/>
          <w:strike w:val="0"/>
          <w:color w:val="auto"/>
          <w:kern w:val="0"/>
          <w:sz w:val="24"/>
          <w:highlight w:val="none"/>
        </w:rPr>
      </w:pPr>
      <w:r>
        <w:rPr>
          <w:rFonts w:hint="eastAsia" w:ascii="仿宋" w:hAnsi="仿宋" w:eastAsia="仿宋" w:cs="仿宋"/>
          <w:b w:val="0"/>
          <w:bCs w:val="0"/>
          <w:strike w:val="0"/>
          <w:color w:val="auto"/>
          <w:kern w:val="0"/>
          <w:sz w:val="24"/>
          <w:highlight w:val="none"/>
          <w:lang w:val="en-US" w:eastAsia="zh-CN"/>
        </w:rPr>
        <w:t>10</w:t>
      </w:r>
      <w:r>
        <w:rPr>
          <w:rFonts w:hint="eastAsia" w:ascii="仿宋" w:hAnsi="仿宋" w:eastAsia="仿宋" w:cs="仿宋"/>
          <w:b w:val="0"/>
          <w:bCs w:val="0"/>
          <w:strike w:val="0"/>
          <w:color w:val="auto"/>
          <w:kern w:val="0"/>
          <w:sz w:val="24"/>
          <w:highlight w:val="none"/>
        </w:rPr>
        <w:t>.2.3.2响应文件加密</w:t>
      </w:r>
    </w:p>
    <w:p w14:paraId="223CB652">
      <w:pPr>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strike w:val="0"/>
          <w:color w:val="auto"/>
          <w:kern w:val="0"/>
          <w:sz w:val="24"/>
          <w:highlight w:val="none"/>
        </w:rPr>
        <w:t>系统中上传的电子响应文件须使用数字电子CA（单位、法人或个人）进行加密。</w:t>
      </w:r>
    </w:p>
    <w:p w14:paraId="22B59199">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10.3谈判保证金</w:t>
      </w:r>
    </w:p>
    <w:p w14:paraId="45EFB8E9">
      <w:pPr>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10.3.1供应商应提交的谈判保证金金额和提交方式详见前附表第</w:t>
      </w:r>
      <w:r>
        <w:rPr>
          <w:rFonts w:hint="eastAsia" w:ascii="仿宋" w:hAnsi="仿宋" w:eastAsia="仿宋" w:cs="仿宋"/>
          <w:b w:val="0"/>
          <w:bCs w:val="0"/>
          <w:color w:val="auto"/>
          <w:kern w:val="0"/>
          <w:sz w:val="24"/>
          <w:highlight w:val="none"/>
          <w:lang w:val="en-US" w:eastAsia="zh-CN"/>
        </w:rPr>
        <w:t>14</w:t>
      </w:r>
      <w:r>
        <w:rPr>
          <w:rFonts w:hint="eastAsia" w:ascii="仿宋" w:hAnsi="仿宋" w:eastAsia="仿宋" w:cs="仿宋"/>
          <w:b w:val="0"/>
          <w:bCs w:val="0"/>
          <w:color w:val="auto"/>
          <w:kern w:val="0"/>
          <w:sz w:val="24"/>
          <w:highlight w:val="none"/>
        </w:rPr>
        <w:t>条。未按要求交纳谈判保证金的，响应无效</w:t>
      </w:r>
      <w:r>
        <w:rPr>
          <w:rFonts w:hint="eastAsia" w:ascii="仿宋" w:hAnsi="仿宋" w:eastAsia="仿宋" w:cs="仿宋"/>
          <w:b w:val="0"/>
          <w:bCs w:val="0"/>
          <w:color w:val="auto"/>
          <w:spacing w:val="10"/>
          <w:kern w:val="0"/>
          <w:sz w:val="24"/>
          <w:highlight w:val="none"/>
        </w:rPr>
        <w:t>。</w:t>
      </w:r>
    </w:p>
    <w:p w14:paraId="13A57652">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bCs/>
          <w:color w:val="auto"/>
          <w:kern w:val="0"/>
          <w:sz w:val="24"/>
          <w:highlight w:val="none"/>
        </w:rPr>
        <w:t>10.3.2供应商在谈判截止时间前撤回已提交的响应文件的，采购代理机构应当自收到供应商书面撤回通知之日起</w:t>
      </w:r>
      <w:r>
        <w:rPr>
          <w:rFonts w:hint="eastAsia" w:ascii="仿宋" w:hAnsi="仿宋" w:eastAsia="仿宋" w:cs="仿宋"/>
          <w:bCs/>
          <w:color w:val="auto"/>
          <w:kern w:val="0"/>
          <w:sz w:val="24"/>
          <w:highlight w:val="none"/>
          <w:lang w:val="en-US" w:eastAsia="zh-CN"/>
        </w:rPr>
        <w:t>5</w:t>
      </w:r>
      <w:r>
        <w:rPr>
          <w:rFonts w:hint="eastAsia" w:ascii="仿宋" w:hAnsi="仿宋" w:eastAsia="仿宋" w:cs="仿宋"/>
          <w:bCs/>
          <w:color w:val="auto"/>
          <w:kern w:val="0"/>
          <w:sz w:val="24"/>
          <w:highlight w:val="none"/>
        </w:rPr>
        <w:t>个工作日内，退还已收取的谈判保证金，但因供应商自身原因导致无法及时退还的除外。</w:t>
      </w:r>
    </w:p>
    <w:p w14:paraId="707956CB">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10.3.3</w:t>
      </w:r>
      <w:r>
        <w:rPr>
          <w:rFonts w:hint="eastAsia" w:ascii="仿宋" w:hAnsi="仿宋" w:eastAsia="仿宋" w:cs="仿宋"/>
          <w:bCs/>
          <w:color w:val="auto"/>
          <w:kern w:val="0"/>
          <w:sz w:val="24"/>
          <w:highlight w:val="none"/>
        </w:rPr>
        <w:t>代理机构</w:t>
      </w:r>
      <w:r>
        <w:rPr>
          <w:rFonts w:hint="eastAsia" w:ascii="仿宋" w:hAnsi="仿宋" w:eastAsia="仿宋" w:cs="仿宋"/>
          <w:color w:val="auto"/>
          <w:kern w:val="0"/>
          <w:sz w:val="24"/>
          <w:highlight w:val="none"/>
        </w:rPr>
        <w:t>应当自成交通知书发出</w:t>
      </w:r>
      <w:r>
        <w:rPr>
          <w:rFonts w:hint="eastAsia" w:ascii="仿宋" w:hAnsi="仿宋" w:eastAsia="仿宋" w:cs="仿宋"/>
          <w:bCs/>
          <w:color w:val="auto"/>
          <w:kern w:val="0"/>
          <w:sz w:val="24"/>
          <w:highlight w:val="none"/>
        </w:rPr>
        <w:t>之日起</w:t>
      </w:r>
      <w:r>
        <w:rPr>
          <w:rFonts w:hint="eastAsia" w:ascii="仿宋" w:hAnsi="仿宋" w:eastAsia="仿宋" w:cs="仿宋"/>
          <w:color w:val="auto"/>
          <w:kern w:val="0"/>
          <w:sz w:val="24"/>
          <w:highlight w:val="none"/>
        </w:rPr>
        <w:t>5个工作日内退还未</w:t>
      </w:r>
      <w:r>
        <w:rPr>
          <w:rFonts w:hint="eastAsia" w:ascii="仿宋" w:hAnsi="仿宋" w:eastAsia="仿宋" w:cs="仿宋"/>
          <w:color w:val="auto"/>
          <w:kern w:val="0"/>
          <w:sz w:val="24"/>
          <w:highlight w:val="none"/>
          <w:lang w:eastAsia="zh-CN"/>
        </w:rPr>
        <w:t>成交供应商</w:t>
      </w:r>
      <w:r>
        <w:rPr>
          <w:rFonts w:hint="eastAsia" w:ascii="仿宋" w:hAnsi="仿宋" w:eastAsia="仿宋" w:cs="仿宋"/>
          <w:color w:val="auto"/>
          <w:kern w:val="0"/>
          <w:sz w:val="24"/>
          <w:highlight w:val="none"/>
        </w:rPr>
        <w:t>的谈判保证金，自采购合同签订</w:t>
      </w:r>
      <w:r>
        <w:rPr>
          <w:rFonts w:hint="eastAsia" w:ascii="仿宋" w:hAnsi="仿宋" w:eastAsia="仿宋" w:cs="仿宋"/>
          <w:bCs/>
          <w:color w:val="auto"/>
          <w:kern w:val="0"/>
          <w:sz w:val="24"/>
          <w:highlight w:val="none"/>
        </w:rPr>
        <w:t>之日起</w:t>
      </w:r>
      <w:r>
        <w:rPr>
          <w:rFonts w:hint="eastAsia" w:ascii="仿宋" w:hAnsi="仿宋" w:eastAsia="仿宋" w:cs="仿宋"/>
          <w:color w:val="auto"/>
          <w:kern w:val="0"/>
          <w:sz w:val="24"/>
          <w:highlight w:val="none"/>
        </w:rPr>
        <w:t>5个工作日内退还</w:t>
      </w:r>
      <w:r>
        <w:rPr>
          <w:rFonts w:hint="eastAsia" w:ascii="仿宋" w:hAnsi="仿宋" w:eastAsia="仿宋" w:cs="仿宋"/>
          <w:color w:val="auto"/>
          <w:kern w:val="0"/>
          <w:sz w:val="24"/>
          <w:highlight w:val="none"/>
          <w:lang w:eastAsia="zh-CN"/>
        </w:rPr>
        <w:t>成交供应商</w:t>
      </w:r>
      <w:r>
        <w:rPr>
          <w:rFonts w:hint="eastAsia" w:ascii="仿宋" w:hAnsi="仿宋" w:eastAsia="仿宋" w:cs="仿宋"/>
          <w:color w:val="auto"/>
          <w:kern w:val="0"/>
          <w:sz w:val="24"/>
          <w:highlight w:val="none"/>
        </w:rPr>
        <w:t xml:space="preserve">的谈判保证金。 </w:t>
      </w:r>
    </w:p>
    <w:p w14:paraId="09D20DDE">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10.3.4有下列情形之一的，谈判保证金不予退还：</w:t>
      </w:r>
    </w:p>
    <w:p w14:paraId="1EBDC705">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10.3.4.1供应商在提交响应文件截止时间后撤回响应文件的；</w:t>
      </w:r>
    </w:p>
    <w:p w14:paraId="213E2423">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10.3.4.2供应商在响应文件中提供虚假材料的；</w:t>
      </w:r>
    </w:p>
    <w:p w14:paraId="5CCA74FA">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10.3.4.3除因不可抗力或竞争性谈判文件认可的情形外，</w:t>
      </w:r>
      <w:r>
        <w:rPr>
          <w:rFonts w:hint="eastAsia" w:ascii="仿宋" w:hAnsi="仿宋" w:eastAsia="仿宋" w:cs="仿宋"/>
          <w:color w:val="auto"/>
          <w:kern w:val="0"/>
          <w:sz w:val="24"/>
          <w:highlight w:val="none"/>
          <w:lang w:eastAsia="zh-CN"/>
        </w:rPr>
        <w:t>成交供应商</w:t>
      </w:r>
      <w:r>
        <w:rPr>
          <w:rFonts w:hint="eastAsia" w:ascii="仿宋" w:hAnsi="仿宋" w:eastAsia="仿宋" w:cs="仿宋"/>
          <w:color w:val="auto"/>
          <w:kern w:val="0"/>
          <w:sz w:val="24"/>
          <w:highlight w:val="none"/>
        </w:rPr>
        <w:t>不与采购人签订合同的；</w:t>
      </w:r>
    </w:p>
    <w:p w14:paraId="5D849D05">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10.3.4.4供应商与采购人、其他供应商或者代理机构恶意串通的；</w:t>
      </w:r>
    </w:p>
    <w:p w14:paraId="46A9E830">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10.3.4.5竞争性谈判文件规定的其他情形。</w:t>
      </w:r>
    </w:p>
    <w:p w14:paraId="1AC9F12A">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10.3.5供应商为联合体的，可以由联合体中的一方或者多方共同交纳保证金，其交纳的保证金对联合体各方均具有约束力。</w:t>
      </w:r>
    </w:p>
    <w:p w14:paraId="58169705">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10.3.6已提交响应文件的供应商，在提交最后报价之前，可以根据谈判情况退出谈判。代理机构应当退还退出谈判的供应商的谈判保证金。</w:t>
      </w:r>
    </w:p>
    <w:p w14:paraId="31E627E1">
      <w:pPr>
        <w:pStyle w:val="28"/>
        <w:snapToGrid w:val="0"/>
        <w:spacing w:line="360" w:lineRule="auto"/>
        <w:ind w:firstLine="475" w:firstLineChars="198"/>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10.4谈判报价</w:t>
      </w:r>
    </w:p>
    <w:p w14:paraId="522DB9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b w:val="0"/>
          <w:bCs w:val="0"/>
          <w:color w:val="auto"/>
          <w:kern w:val="0"/>
          <w:sz w:val="24"/>
          <w:highlight w:val="none"/>
        </w:rPr>
        <w:t>10.4.1所有报价均以人民币元为计算单位。只要投报了一个确定数额的总价，无论</w:t>
      </w:r>
      <w:r>
        <w:rPr>
          <w:rFonts w:hint="eastAsia" w:ascii="仿宋" w:hAnsi="仿宋" w:eastAsia="仿宋" w:cs="仿宋"/>
          <w:color w:val="auto"/>
          <w:kern w:val="0"/>
          <w:sz w:val="24"/>
          <w:highlight w:val="none"/>
        </w:rPr>
        <w:t>分项价格是否全部填报了相应的金额字样，报价应被视为已经包含了但并不限于货物价格、将成交货物送到采购人指定地点所发生的运费及安装、调试、验收、技术培训、保险、售后服务以及相关税费等所有费用。在其它情况下，由于分项报价填报不完整、不清楚或存在其它任何失误，所导致的任何不利后果均应当由供应商自行承担。</w:t>
      </w:r>
    </w:p>
    <w:p w14:paraId="2DED67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10.4.2进口产品报价方式</w:t>
      </w:r>
    </w:p>
    <w:p w14:paraId="6B8D64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进口货物以“人民币”报价，包含进口环节所需的全部相关费用，通过中国海关报关验放进入中国境内且产自境外的货物，</w:t>
      </w:r>
      <w:r>
        <w:rPr>
          <w:rFonts w:hint="eastAsia" w:ascii="仿宋" w:hAnsi="仿宋" w:eastAsia="仿宋" w:cs="仿宋"/>
          <w:color w:val="auto"/>
          <w:kern w:val="0"/>
          <w:sz w:val="24"/>
          <w:highlight w:val="none"/>
          <w:lang w:val="en-US" w:eastAsia="zh-CN"/>
        </w:rPr>
        <w:t>采购人</w:t>
      </w:r>
      <w:r>
        <w:rPr>
          <w:rFonts w:hint="eastAsia" w:ascii="仿宋" w:hAnsi="仿宋" w:eastAsia="仿宋" w:cs="仿宋"/>
          <w:color w:val="auto"/>
          <w:kern w:val="0"/>
          <w:sz w:val="24"/>
          <w:highlight w:val="none"/>
        </w:rPr>
        <w:t>可提供海关免税证明手续。</w:t>
      </w:r>
    </w:p>
    <w:p w14:paraId="19C139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10.4.3供应商应认真按包分别填报“报价一览表</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如有）</w:t>
      </w:r>
      <w:r>
        <w:rPr>
          <w:rFonts w:hint="eastAsia" w:ascii="仿宋" w:hAnsi="仿宋" w:eastAsia="仿宋" w:cs="仿宋"/>
          <w:color w:val="auto"/>
          <w:kern w:val="0"/>
          <w:sz w:val="24"/>
          <w:highlight w:val="none"/>
        </w:rPr>
        <w:t>”。供应商参加多包谈判的，应对每包整包内容分别填报。</w:t>
      </w:r>
    </w:p>
    <w:p w14:paraId="2AC0FB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10.4.4本次谈判不接受可选择方案的报价。</w:t>
      </w:r>
    </w:p>
    <w:p w14:paraId="43757F33">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10.4.5报价货物单价包括货物报价、装箱、包装、包装物料、送货、保险、售后服务等所有相关费用。</w:t>
      </w:r>
    </w:p>
    <w:p w14:paraId="0AF37247">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10.4.6对于有配件、耗材、选件、备件和特殊工具的货物，还应填报货物配件、耗材、选件、备件及特殊工具清单，注明品牌、型号、产地、功能、单价、批量折扣等内容，该表格由供应商自行设计。</w:t>
      </w:r>
    </w:p>
    <w:p w14:paraId="1944866B">
      <w:pPr>
        <w:pStyle w:val="28"/>
        <w:snapToGrid w:val="0"/>
        <w:spacing w:line="360" w:lineRule="auto"/>
        <w:ind w:firstLine="477" w:firstLineChars="198"/>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11.响应文件填写说明</w:t>
      </w:r>
    </w:p>
    <w:p w14:paraId="774D88C5">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11.1供应商应详细阅读竞争性谈判文件的全部内容。响应文件应对竞争性谈判文件中的内容做出实质性和完整性的响应。</w:t>
      </w:r>
    </w:p>
    <w:p w14:paraId="27A1EC6B">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11.2响应文件有固定格式要求的须按第七部分提供的统一格式逐项填写；无相应内容的项，填写“无”、“未测试”、“没有相应指标”、“/”等明确的回答。</w:t>
      </w:r>
    </w:p>
    <w:p w14:paraId="7BA50DBE">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11.3供应商必须保证响应文件所提供的全部资料真实可靠，并接受谈判小组对其中任何资料进一步审查的要求。</w:t>
      </w:r>
    </w:p>
    <w:p w14:paraId="69A7BFF8">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11.4为提倡诚实信用的谈判行为，特别要求供应商应本着诚信精神，在本次响应文件的偏离表和其它偏离文件中，以审慎的态度明确、清楚地披露各项偏离。若供应商对某一事项是否存在或是否属于偏离不能确定，亦必须在偏离表中清楚地表明该偏离事项“不能确定”的字样。</w:t>
      </w:r>
    </w:p>
    <w:p w14:paraId="571043AB">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11.5响应文件应字迹清楚、内容齐全、不得涂改或增删。如有修改和增删，必须有供应商公章及法定代表人或其授权代表签字。因响应文件字迹模糊或表达不清所引起的不利后果由供应商自行承担。</w:t>
      </w:r>
    </w:p>
    <w:p w14:paraId="6C8816F2">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供应商之间不得相互串通报价，不得妨碍其他供应商的公平竞争，不得损害采购单位或者其他供应商的合法权益。</w:t>
      </w:r>
    </w:p>
    <w:p w14:paraId="3E06D902">
      <w:pPr>
        <w:pStyle w:val="28"/>
        <w:snapToGrid w:val="0"/>
        <w:spacing w:line="360" w:lineRule="auto"/>
        <w:ind w:firstLine="477" w:firstLineChars="198"/>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12.响应文件的有效期</w:t>
      </w:r>
    </w:p>
    <w:p w14:paraId="10734B7A">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本项目响应文件的有效期详见供应商须知前附表第1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条。</w:t>
      </w:r>
    </w:p>
    <w:p w14:paraId="373DBEDE">
      <w:pPr>
        <w:pStyle w:val="28"/>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strike w:val="0"/>
          <w:color w:val="auto"/>
          <w:sz w:val="24"/>
          <w:szCs w:val="24"/>
          <w:highlight w:val="none"/>
        </w:rPr>
        <w:t>成交供应商的响应文件自</w:t>
      </w:r>
      <w:r>
        <w:rPr>
          <w:rFonts w:hint="eastAsia" w:ascii="仿宋" w:hAnsi="仿宋" w:eastAsia="仿宋" w:cs="仿宋"/>
          <w:strike w:val="0"/>
          <w:color w:val="auto"/>
          <w:sz w:val="24"/>
          <w:szCs w:val="24"/>
          <w:highlight w:val="none"/>
          <w:lang w:val="en-US" w:eastAsia="zh-CN"/>
        </w:rPr>
        <w:t>谈判</w:t>
      </w:r>
      <w:r>
        <w:rPr>
          <w:rFonts w:hint="eastAsia" w:ascii="仿宋" w:hAnsi="仿宋" w:eastAsia="仿宋" w:cs="仿宋"/>
          <w:strike w:val="0"/>
          <w:color w:val="auto"/>
          <w:sz w:val="24"/>
          <w:szCs w:val="24"/>
          <w:highlight w:val="none"/>
        </w:rPr>
        <w:t>之日起至合同履行完毕止均应保持有效。</w:t>
      </w:r>
    </w:p>
    <w:p w14:paraId="33DAC200">
      <w:pPr>
        <w:pStyle w:val="28"/>
        <w:snapToGrid w:val="0"/>
        <w:spacing w:line="360" w:lineRule="auto"/>
        <w:ind w:firstLine="477" w:firstLineChars="198"/>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13.响应文件的签署及其他规定</w:t>
      </w:r>
    </w:p>
    <w:p w14:paraId="45F4D598">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13.1组成响应文件的各种文件均应遵守本款规定。</w:t>
      </w:r>
    </w:p>
    <w:p w14:paraId="05315633">
      <w:pPr>
        <w:pStyle w:val="28"/>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szCs w:val="24"/>
          <w:highlight w:val="none"/>
        </w:rPr>
        <w:t>13.2供应商在响应文件及相关文件的签订、履行、通知等事项的书面文件中的“单</w:t>
      </w:r>
      <w:r>
        <w:rPr>
          <w:rFonts w:hint="eastAsia" w:ascii="仿宋" w:hAnsi="仿宋" w:eastAsia="仿宋" w:cs="仿宋"/>
          <w:b w:val="0"/>
          <w:bCs w:val="0"/>
          <w:color w:val="auto"/>
          <w:sz w:val="24"/>
          <w:szCs w:val="24"/>
          <w:highlight w:val="none"/>
        </w:rPr>
        <w:t>位盖章”、“印章”、“公章”等处均仅指与当事人名称全称相一致的标准公章，不得使用其它（如带有“专用章”等字样）印章，否则将做响应无效处理。</w:t>
      </w:r>
    </w:p>
    <w:p w14:paraId="7D87E7A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13.3供应商应在响应文件中按照竞争性谈判文件要求，在指定的位置签字（章）、加盖公章。</w:t>
      </w:r>
    </w:p>
    <w:p w14:paraId="02C60EC5">
      <w:pPr>
        <w:pStyle w:val="28"/>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13.4对响应文件中字迹模糊、涂改或增删之处，必须有供应商公章或法定代表人或其授权的供应商授权代表签字。</w:t>
      </w:r>
    </w:p>
    <w:p w14:paraId="13B875C5">
      <w:pPr>
        <w:pStyle w:val="28"/>
        <w:snapToGrid w:val="0"/>
        <w:spacing w:line="360" w:lineRule="auto"/>
        <w:ind w:firstLine="480" w:firstLineChars="200"/>
        <w:rPr>
          <w:rFonts w:hint="eastAsia" w:ascii="仿宋" w:hAnsi="仿宋" w:eastAsia="仿宋" w:cs="仿宋"/>
          <w:b w:val="0"/>
          <w:bCs w:val="0"/>
          <w:color w:val="auto"/>
          <w:sz w:val="24"/>
          <w:szCs w:val="24"/>
          <w:highlight w:val="none"/>
        </w:rPr>
      </w:pPr>
      <w:bookmarkStart w:id="39" w:name="_Toc466533580"/>
      <w:r>
        <w:rPr>
          <w:rFonts w:hint="eastAsia" w:ascii="仿宋" w:hAnsi="仿宋" w:eastAsia="仿宋" w:cs="仿宋"/>
          <w:b w:val="0"/>
          <w:bCs w:val="0"/>
          <w:color w:val="auto"/>
          <w:sz w:val="24"/>
          <w:szCs w:val="24"/>
          <w:highlight w:val="none"/>
        </w:rPr>
        <w:t>13.</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因响应文件</w:t>
      </w:r>
      <w:r>
        <w:rPr>
          <w:rFonts w:hint="eastAsia" w:ascii="仿宋" w:hAnsi="仿宋" w:eastAsia="仿宋" w:cs="仿宋"/>
          <w:b w:val="0"/>
          <w:bCs w:val="0"/>
          <w:color w:val="auto"/>
          <w:sz w:val="24"/>
          <w:szCs w:val="24"/>
          <w:highlight w:val="none"/>
          <w:lang w:eastAsia="zh-CN"/>
        </w:rPr>
        <w:t>资料不清晰</w:t>
      </w:r>
      <w:r>
        <w:rPr>
          <w:rFonts w:hint="eastAsia" w:ascii="仿宋" w:hAnsi="仿宋" w:eastAsia="仿宋" w:cs="仿宋"/>
          <w:b w:val="0"/>
          <w:bCs w:val="0"/>
          <w:color w:val="auto"/>
          <w:sz w:val="24"/>
          <w:szCs w:val="24"/>
          <w:highlight w:val="none"/>
        </w:rPr>
        <w:t>或表达不清所引起的不利后果由供应商承担。</w:t>
      </w:r>
    </w:p>
    <w:p w14:paraId="763D80BD">
      <w:pPr>
        <w:pStyle w:val="28"/>
        <w:snapToGrid w:val="0"/>
        <w:spacing w:line="360" w:lineRule="auto"/>
        <w:ind w:firstLine="477" w:firstLineChars="198"/>
        <w:rPr>
          <w:rFonts w:hint="eastAsia" w:ascii="仿宋" w:hAnsi="仿宋" w:eastAsia="仿宋" w:cs="仿宋"/>
          <w:b/>
          <w:color w:val="auto"/>
          <w:sz w:val="24"/>
          <w:szCs w:val="24"/>
          <w:highlight w:val="none"/>
        </w:rPr>
      </w:pPr>
      <w:bookmarkStart w:id="40" w:name="_Toc561"/>
      <w:r>
        <w:rPr>
          <w:rFonts w:hint="eastAsia" w:ascii="仿宋" w:hAnsi="仿宋" w:eastAsia="仿宋" w:cs="仿宋"/>
          <w:b/>
          <w:color w:val="auto"/>
          <w:sz w:val="24"/>
          <w:szCs w:val="24"/>
          <w:highlight w:val="none"/>
        </w:rPr>
        <w:t>14.响应文件的补充、修改和撤回</w:t>
      </w:r>
    </w:p>
    <w:p w14:paraId="75967DA5">
      <w:pPr>
        <w:pStyle w:val="28"/>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14.1供应商在首次提交响应文件截止时间前，可以对所提交的响应文件进行补充、修改。补充、修改的内容作为响应文件的组成部分，补充、修改内容需在“</w:t>
      </w:r>
      <w:r>
        <w:rPr>
          <w:rFonts w:hint="eastAsia" w:ascii="仿宋" w:hAnsi="仿宋" w:eastAsia="仿宋" w:cs="仿宋"/>
          <w:color w:val="auto"/>
          <w:sz w:val="24"/>
          <w:highlight w:val="none"/>
          <w:lang w:val="en-US" w:eastAsia="zh-CN"/>
        </w:rPr>
        <w:t>山西省政府采购网</w:t>
      </w:r>
      <w:r>
        <w:rPr>
          <w:rFonts w:hint="eastAsia" w:ascii="仿宋" w:hAnsi="仿宋" w:eastAsia="仿宋" w:cs="仿宋"/>
          <w:b w:val="0"/>
          <w:bCs w:val="0"/>
          <w:color w:val="auto"/>
          <w:sz w:val="24"/>
          <w:szCs w:val="24"/>
          <w:highlight w:val="none"/>
        </w:rPr>
        <w:t>”系统中上传，未进行上传的补充、修改内容无效。补充、修改的内容与响应文件不一致的，以补充、修改的内容为准。</w:t>
      </w:r>
    </w:p>
    <w:p w14:paraId="5BD38111">
      <w:pPr>
        <w:pStyle w:val="28"/>
        <w:snapToGrid w:val="0"/>
        <w:spacing w:line="36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14.</w:t>
      </w: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在报价截止时间之后，供应商不得撤回响应文件。</w:t>
      </w:r>
    </w:p>
    <w:bookmarkEnd w:id="39"/>
    <w:bookmarkEnd w:id="40"/>
    <w:p w14:paraId="10A5E4C3">
      <w:pPr>
        <w:tabs>
          <w:tab w:val="left" w:pos="567"/>
        </w:tabs>
        <w:snapToGrid w:val="0"/>
        <w:spacing w:line="360" w:lineRule="auto"/>
        <w:ind w:firstLine="482" w:firstLineChars="200"/>
        <w:outlineLvl w:val="9"/>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lang w:val="en-US" w:eastAsia="zh-CN"/>
        </w:rPr>
        <w:t>四</w:t>
      </w:r>
      <w:r>
        <w:rPr>
          <w:rFonts w:hint="eastAsia" w:ascii="仿宋" w:hAnsi="仿宋" w:eastAsia="仿宋" w:cs="仿宋"/>
          <w:b/>
          <w:color w:val="auto"/>
          <w:sz w:val="24"/>
          <w:highlight w:val="none"/>
        </w:rPr>
        <w:t>.响应文件的</w:t>
      </w:r>
      <w:r>
        <w:rPr>
          <w:rFonts w:hint="eastAsia" w:ascii="仿宋" w:hAnsi="仿宋" w:eastAsia="仿宋" w:cs="仿宋"/>
          <w:b/>
          <w:color w:val="auto"/>
          <w:sz w:val="24"/>
          <w:highlight w:val="none"/>
          <w:lang w:val="en-US" w:eastAsia="zh-CN"/>
        </w:rPr>
        <w:t>递交</w:t>
      </w:r>
    </w:p>
    <w:p w14:paraId="5B9A5A07">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5</w:t>
      </w:r>
      <w:r>
        <w:rPr>
          <w:rFonts w:hint="eastAsia" w:ascii="仿宋" w:hAnsi="仿宋" w:eastAsia="仿宋" w:cs="仿宋"/>
          <w:b/>
          <w:bCs/>
          <w:color w:val="auto"/>
          <w:kern w:val="0"/>
          <w:sz w:val="24"/>
          <w:highlight w:val="none"/>
        </w:rPr>
        <w:t>.递交响应文件截止时间</w:t>
      </w:r>
    </w:p>
    <w:p w14:paraId="36F4B4E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5</w:t>
      </w:r>
      <w:r>
        <w:rPr>
          <w:rFonts w:hint="eastAsia" w:ascii="仿宋" w:hAnsi="仿宋" w:eastAsia="仿宋" w:cs="仿宋"/>
          <w:b w:val="0"/>
          <w:bCs w:val="0"/>
          <w:color w:val="auto"/>
          <w:kern w:val="0"/>
          <w:sz w:val="24"/>
          <w:highlight w:val="none"/>
        </w:rPr>
        <w:t>.1响应文件须按照谈判文件第一部分谈判公告中规定的时间按照“</w:t>
      </w:r>
      <w:r>
        <w:rPr>
          <w:rFonts w:hint="eastAsia" w:ascii="仿宋" w:hAnsi="仿宋" w:eastAsia="仿宋" w:cs="仿宋"/>
          <w:color w:val="auto"/>
          <w:sz w:val="24"/>
          <w:highlight w:val="none"/>
          <w:lang w:val="en-US" w:eastAsia="zh-CN"/>
        </w:rPr>
        <w:t>山西省政府采购网</w:t>
      </w:r>
      <w:r>
        <w:rPr>
          <w:rFonts w:hint="eastAsia" w:ascii="仿宋" w:hAnsi="仿宋" w:eastAsia="仿宋" w:cs="仿宋"/>
          <w:b w:val="0"/>
          <w:bCs w:val="0"/>
          <w:color w:val="auto"/>
          <w:kern w:val="0"/>
          <w:sz w:val="24"/>
          <w:highlight w:val="none"/>
        </w:rPr>
        <w:t>”系统要求，逐条上传。在递交响应文件截止时间前未完成响应文件上传的，视为撤回响应文件，供应商自行承担责任。</w:t>
      </w:r>
    </w:p>
    <w:p w14:paraId="194D7BC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5</w:t>
      </w:r>
      <w:r>
        <w:rPr>
          <w:rFonts w:hint="eastAsia" w:ascii="仿宋" w:hAnsi="仿宋" w:eastAsia="仿宋" w:cs="仿宋"/>
          <w:b w:val="0"/>
          <w:bCs w:val="0"/>
          <w:color w:val="auto"/>
          <w:kern w:val="0"/>
          <w:sz w:val="24"/>
          <w:highlight w:val="none"/>
        </w:rPr>
        <w:t>.2采购代理机构根据本须知的规定，通过修改谈判文件或自行决定延长首次响应文件截止日期的，采购人和供应商受递交截止日期制约的所有权利和义务均延长至新的截止日期。</w:t>
      </w:r>
    </w:p>
    <w:p w14:paraId="4333B9F0">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6</w:t>
      </w:r>
      <w:r>
        <w:rPr>
          <w:rFonts w:hint="eastAsia" w:ascii="仿宋" w:hAnsi="仿宋" w:eastAsia="仿宋" w:cs="仿宋"/>
          <w:b/>
          <w:bCs/>
          <w:color w:val="auto"/>
          <w:kern w:val="0"/>
          <w:sz w:val="24"/>
          <w:highlight w:val="none"/>
        </w:rPr>
        <w:t>.响应文件解密及其他</w:t>
      </w:r>
    </w:p>
    <w:p w14:paraId="45EE716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.1采购代理机构在解密开始时间发出解密指令，供应商接到解密信息后，在规定的解密时间内使用加密电子文件时的电子CA进行解密（可远程解密）。</w:t>
      </w:r>
    </w:p>
    <w:p w14:paraId="10E8351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.2由于供应商原因，未在规定时间内完成电子</w:t>
      </w:r>
      <w:r>
        <w:rPr>
          <w:rFonts w:hint="eastAsia" w:ascii="仿宋" w:hAnsi="仿宋" w:eastAsia="仿宋" w:cs="仿宋"/>
          <w:b w:val="0"/>
          <w:bCs w:val="0"/>
          <w:color w:val="auto"/>
          <w:kern w:val="0"/>
          <w:sz w:val="24"/>
          <w:highlight w:val="none"/>
          <w:lang w:eastAsia="zh-CN"/>
        </w:rPr>
        <w:t>响应文件</w:t>
      </w:r>
      <w:r>
        <w:rPr>
          <w:rFonts w:hint="eastAsia" w:ascii="仿宋" w:hAnsi="仿宋" w:eastAsia="仿宋" w:cs="仿宋"/>
          <w:b w:val="0"/>
          <w:bCs w:val="0"/>
          <w:color w:val="auto"/>
          <w:kern w:val="0"/>
          <w:sz w:val="24"/>
          <w:highlight w:val="none"/>
        </w:rPr>
        <w:t>解密的，视为未递交响应文件，响应无效。</w:t>
      </w:r>
    </w:p>
    <w:p w14:paraId="56349B9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.3解密截止时间后，供应商将无法对响应文件进行解密。除特殊情形需请示财政部门采用其他方式外，采购代理机构不得以任何理由延长解密时间。</w:t>
      </w:r>
    </w:p>
    <w:p w14:paraId="647667F5">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.4在响应文件解密截止时间，完成解密的供应商不足法定家数时，不得进行下一步评审程序。</w:t>
      </w:r>
    </w:p>
    <w:p w14:paraId="3AE0D95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w:t>
      </w:r>
      <w:r>
        <w:rPr>
          <w:rFonts w:hint="eastAsia" w:ascii="仿宋" w:hAnsi="仿宋" w:eastAsia="仿宋" w:cs="仿宋"/>
          <w:b w:val="0"/>
          <w:bCs w:val="0"/>
          <w:color w:val="auto"/>
          <w:kern w:val="0"/>
          <w:sz w:val="24"/>
          <w:highlight w:val="none"/>
          <w:lang w:val="en-US" w:eastAsia="zh-CN"/>
        </w:rPr>
        <w:t>5</w:t>
      </w:r>
      <w:r>
        <w:rPr>
          <w:rFonts w:hint="eastAsia" w:ascii="仿宋" w:hAnsi="仿宋" w:eastAsia="仿宋" w:cs="仿宋"/>
          <w:b w:val="0"/>
          <w:bCs w:val="0"/>
          <w:color w:val="auto"/>
          <w:kern w:val="0"/>
          <w:sz w:val="24"/>
          <w:highlight w:val="none"/>
        </w:rPr>
        <w:t>供应商在系统中自行查看报价结果，并进行确认，在</w:t>
      </w:r>
      <w:r>
        <w:rPr>
          <w:rFonts w:hint="eastAsia" w:ascii="仿宋" w:hAnsi="仿宋" w:eastAsia="仿宋" w:cs="仿宋"/>
          <w:b w:val="0"/>
          <w:bCs w:val="0"/>
          <w:color w:val="auto"/>
          <w:kern w:val="0"/>
          <w:sz w:val="24"/>
          <w:highlight w:val="none"/>
          <w:lang w:val="en-US" w:eastAsia="zh-CN"/>
        </w:rPr>
        <w:t>系统规定时间内</w:t>
      </w:r>
      <w:r>
        <w:rPr>
          <w:rFonts w:hint="eastAsia" w:ascii="仿宋" w:hAnsi="仿宋" w:eastAsia="仿宋" w:cs="仿宋"/>
          <w:b w:val="0"/>
          <w:bCs w:val="0"/>
          <w:color w:val="auto"/>
          <w:kern w:val="0"/>
          <w:sz w:val="24"/>
          <w:highlight w:val="none"/>
        </w:rPr>
        <w:t>未进行确认的，系统默认为已确认报价结果。</w:t>
      </w:r>
    </w:p>
    <w:p w14:paraId="4FA5AB9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本项目采用网上电子开标的方式进行，因不可抗因素导致业务执行系统无法正常运行时，代理机构将等待系统恢复正常后继续进行开启。系统不能及时恢复正常时，代理机构将封标，待系统恢复正常后继续或重新进行开启。</w:t>
      </w:r>
    </w:p>
    <w:p w14:paraId="10D6BCD5">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五、谈判程序</w:t>
      </w:r>
    </w:p>
    <w:p w14:paraId="7705BDF6">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7</w:t>
      </w:r>
      <w:r>
        <w:rPr>
          <w:rFonts w:hint="eastAsia" w:ascii="仿宋" w:hAnsi="仿宋" w:eastAsia="仿宋" w:cs="仿宋"/>
          <w:b/>
          <w:bCs/>
          <w:color w:val="auto"/>
          <w:kern w:val="0"/>
          <w:sz w:val="24"/>
          <w:highlight w:val="none"/>
        </w:rPr>
        <w:t>.谈判会议及其有关事项</w:t>
      </w:r>
    </w:p>
    <w:p w14:paraId="481CED9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采购代理机构将按照竞争性谈判文件规定的时间、地点和程序组织谈判，各谈判专家及相关人员应参加谈判活动并接受核验、签到，无关人员不得进入谈判现场。</w:t>
      </w:r>
    </w:p>
    <w:p w14:paraId="5C46883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谈判活动现场进行全程录音录像，录音录像应当清晰可辨，音像资料作为采购文件一并存档。</w:t>
      </w:r>
    </w:p>
    <w:p w14:paraId="6C32DA93">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1</w:t>
      </w:r>
      <w:r>
        <w:rPr>
          <w:rFonts w:hint="eastAsia" w:ascii="仿宋" w:hAnsi="仿宋" w:eastAsia="仿宋" w:cs="仿宋"/>
          <w:b/>
          <w:bCs/>
          <w:color w:val="auto"/>
          <w:kern w:val="0"/>
          <w:sz w:val="24"/>
          <w:highlight w:val="none"/>
          <w:lang w:val="en-US" w:eastAsia="zh-CN"/>
        </w:rPr>
        <w:t>8</w:t>
      </w:r>
      <w:r>
        <w:rPr>
          <w:rFonts w:hint="eastAsia" w:ascii="仿宋" w:hAnsi="仿宋" w:eastAsia="仿宋" w:cs="仿宋"/>
          <w:b/>
          <w:bCs/>
          <w:color w:val="auto"/>
          <w:kern w:val="0"/>
          <w:sz w:val="24"/>
          <w:highlight w:val="none"/>
        </w:rPr>
        <w:t>.谈判小组组成</w:t>
      </w:r>
    </w:p>
    <w:p w14:paraId="389C43D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val="en-US" w:eastAsia="zh-CN"/>
        </w:rPr>
        <w:t>8</w:t>
      </w:r>
      <w:r>
        <w:rPr>
          <w:rFonts w:hint="eastAsia" w:ascii="仿宋" w:hAnsi="仿宋" w:eastAsia="仿宋" w:cs="仿宋"/>
          <w:b w:val="0"/>
          <w:bCs w:val="0"/>
          <w:color w:val="auto"/>
          <w:kern w:val="0"/>
          <w:sz w:val="24"/>
          <w:highlight w:val="none"/>
        </w:rPr>
        <w:t>.1谈判小组由采购人代表和评审专家共3人以上单数组成，其中评审专家人数不得少于竞争性谈判小组人员总数的2/3。对所有参加谈判的供应商的响应文件，按照竞争性谈判文件要求进行资格性和符合性审查，并对3家及以上实质性响应竞争性谈判文件要求的响应文件，按照竞争性谈判文件规定的谈判程序，与供应商分别进行谈判。</w:t>
      </w:r>
    </w:p>
    <w:p w14:paraId="1FDC30C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18</w:t>
      </w:r>
      <w:r>
        <w:rPr>
          <w:rFonts w:hint="eastAsia" w:ascii="仿宋" w:hAnsi="仿宋" w:eastAsia="仿宋" w:cs="仿宋"/>
          <w:b w:val="0"/>
          <w:bCs w:val="0"/>
          <w:color w:val="auto"/>
          <w:kern w:val="0"/>
          <w:sz w:val="24"/>
          <w:highlight w:val="none"/>
        </w:rPr>
        <w:t>.2采购人不得以评审专家身份参加本部门或本单位采购项目的评审，采购机构人员不得参加本机构代理的采购项目的评审。</w:t>
      </w:r>
    </w:p>
    <w:p w14:paraId="35BF596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18</w:t>
      </w:r>
      <w:r>
        <w:rPr>
          <w:rFonts w:hint="eastAsia" w:ascii="仿宋" w:hAnsi="仿宋" w:eastAsia="仿宋" w:cs="仿宋"/>
          <w:b w:val="0"/>
          <w:bCs w:val="0"/>
          <w:color w:val="auto"/>
          <w:kern w:val="0"/>
          <w:sz w:val="24"/>
          <w:highlight w:val="none"/>
        </w:rPr>
        <w:t>.3谈判小组成员名单在谈判结果公告前应当保密。</w:t>
      </w:r>
    </w:p>
    <w:p w14:paraId="5A7A964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18</w:t>
      </w:r>
      <w:r>
        <w:rPr>
          <w:rFonts w:hint="eastAsia" w:ascii="仿宋" w:hAnsi="仿宋" w:eastAsia="仿宋" w:cs="仿宋"/>
          <w:b w:val="0"/>
          <w:bCs w:val="0"/>
          <w:color w:val="auto"/>
          <w:kern w:val="0"/>
          <w:sz w:val="24"/>
          <w:highlight w:val="none"/>
        </w:rPr>
        <w:t>.4</w:t>
      </w:r>
      <w:r>
        <w:rPr>
          <w:rFonts w:hint="eastAsia" w:ascii="仿宋" w:hAnsi="仿宋" w:eastAsia="仿宋" w:cs="仿宋"/>
          <w:kern w:val="0"/>
          <w:sz w:val="24"/>
          <w:highlight w:val="none"/>
        </w:rPr>
        <w:t>评审专家由</w:t>
      </w:r>
      <w:r>
        <w:rPr>
          <w:rFonts w:hint="eastAsia" w:ascii="仿宋" w:hAnsi="仿宋" w:eastAsia="仿宋" w:cs="仿宋"/>
          <w:kern w:val="0"/>
          <w:sz w:val="24"/>
          <w:highlight w:val="none"/>
          <w:lang w:eastAsia="zh-CN"/>
        </w:rPr>
        <w:t>代理机构</w:t>
      </w:r>
      <w:r>
        <w:rPr>
          <w:rFonts w:hint="eastAsia" w:ascii="仿宋" w:hAnsi="仿宋" w:eastAsia="仿宋" w:cs="仿宋"/>
          <w:kern w:val="0"/>
          <w:sz w:val="24"/>
          <w:highlight w:val="none"/>
        </w:rPr>
        <w:t>从</w:t>
      </w:r>
      <w:r>
        <w:rPr>
          <w:rFonts w:hint="eastAsia" w:ascii="仿宋" w:hAnsi="仿宋" w:eastAsia="仿宋" w:cs="仿宋"/>
          <w:kern w:val="0"/>
          <w:sz w:val="24"/>
          <w:highlight w:val="none"/>
          <w:u w:val="single"/>
        </w:rPr>
        <w:t>山西省财政厅专家库管理系统</w:t>
      </w:r>
      <w:r>
        <w:rPr>
          <w:rFonts w:hint="eastAsia" w:ascii="仿宋" w:hAnsi="仿宋" w:eastAsia="仿宋" w:cs="仿宋"/>
          <w:kern w:val="0"/>
          <w:sz w:val="24"/>
          <w:highlight w:val="none"/>
        </w:rPr>
        <w:t>中，通过随机方式抽取。</w:t>
      </w:r>
      <w:r>
        <w:rPr>
          <w:rFonts w:hint="eastAsia" w:ascii="仿宋" w:hAnsi="仿宋" w:eastAsia="仿宋" w:cs="仿宋"/>
          <w:b w:val="0"/>
          <w:bCs w:val="0"/>
          <w:color w:val="auto"/>
          <w:kern w:val="0"/>
          <w:sz w:val="24"/>
          <w:highlight w:val="none"/>
        </w:rPr>
        <w:t>对技术复杂、专业性强的采购项目，通过随机方式难以确定合适评审专家的，经主管预算单位同意，采购人可以自行选定相应专业领域的评审专家。技术复杂、专业性强的采购项目，评审专家中应当包含1名法律专家。</w:t>
      </w:r>
    </w:p>
    <w:p w14:paraId="419B6FA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18</w:t>
      </w:r>
      <w:r>
        <w:rPr>
          <w:rFonts w:hint="eastAsia" w:ascii="仿宋" w:hAnsi="仿宋" w:eastAsia="仿宋" w:cs="仿宋"/>
          <w:b w:val="0"/>
          <w:bCs w:val="0"/>
          <w:color w:val="auto"/>
          <w:kern w:val="0"/>
          <w:sz w:val="24"/>
          <w:highlight w:val="none"/>
        </w:rPr>
        <w:t>.5谈判中因评审专家缺席、回避或者健康等特殊原因导致谈判</w:t>
      </w:r>
      <w:r>
        <w:rPr>
          <w:rFonts w:hint="eastAsia" w:ascii="仿宋" w:hAnsi="仿宋" w:eastAsia="仿宋" w:cs="仿宋"/>
          <w:b w:val="0"/>
          <w:bCs w:val="0"/>
          <w:color w:val="auto"/>
          <w:kern w:val="0"/>
          <w:sz w:val="24"/>
          <w:highlight w:val="none"/>
          <w:lang w:val="en-US" w:eastAsia="zh-CN"/>
        </w:rPr>
        <w:t>小组</w:t>
      </w:r>
      <w:r>
        <w:rPr>
          <w:rFonts w:hint="eastAsia" w:ascii="仿宋" w:hAnsi="仿宋" w:eastAsia="仿宋" w:cs="仿宋"/>
          <w:b w:val="0"/>
          <w:bCs w:val="0"/>
          <w:color w:val="auto"/>
          <w:kern w:val="0"/>
          <w:sz w:val="24"/>
          <w:highlight w:val="none"/>
        </w:rPr>
        <w:t>组成不符合相关法律规定的，代理机构应当依法补足后继续谈判。被更换的</w:t>
      </w:r>
      <w:r>
        <w:rPr>
          <w:rFonts w:hint="eastAsia" w:ascii="仿宋" w:hAnsi="仿宋" w:eastAsia="仿宋" w:cs="仿宋"/>
          <w:b w:val="0"/>
          <w:bCs w:val="0"/>
          <w:color w:val="auto"/>
          <w:kern w:val="0"/>
          <w:sz w:val="24"/>
          <w:highlight w:val="none"/>
          <w:lang w:eastAsia="zh-CN"/>
        </w:rPr>
        <w:t>谈判小组</w:t>
      </w:r>
      <w:r>
        <w:rPr>
          <w:rFonts w:hint="eastAsia" w:ascii="仿宋" w:hAnsi="仿宋" w:eastAsia="仿宋" w:cs="仿宋"/>
          <w:b w:val="0"/>
          <w:bCs w:val="0"/>
          <w:color w:val="auto"/>
          <w:kern w:val="0"/>
          <w:sz w:val="24"/>
          <w:highlight w:val="none"/>
        </w:rPr>
        <w:t>所作出的谈判意见无效。</w:t>
      </w:r>
    </w:p>
    <w:p w14:paraId="2E3B169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18</w:t>
      </w:r>
      <w:r>
        <w:rPr>
          <w:rFonts w:hint="eastAsia" w:ascii="仿宋" w:hAnsi="仿宋" w:eastAsia="仿宋" w:cs="仿宋"/>
          <w:b w:val="0"/>
          <w:bCs w:val="0"/>
          <w:color w:val="auto"/>
          <w:kern w:val="0"/>
          <w:sz w:val="24"/>
          <w:highlight w:val="none"/>
        </w:rPr>
        <w:t>.6无法及时补足</w:t>
      </w:r>
      <w:r>
        <w:rPr>
          <w:rFonts w:hint="eastAsia" w:ascii="仿宋" w:hAnsi="仿宋" w:eastAsia="仿宋" w:cs="仿宋"/>
          <w:b w:val="0"/>
          <w:bCs w:val="0"/>
          <w:color w:val="auto"/>
          <w:kern w:val="0"/>
          <w:sz w:val="24"/>
          <w:highlight w:val="none"/>
          <w:lang w:eastAsia="zh-CN"/>
        </w:rPr>
        <w:t>谈判小组</w:t>
      </w:r>
      <w:r>
        <w:rPr>
          <w:rFonts w:hint="eastAsia" w:ascii="仿宋" w:hAnsi="仿宋" w:eastAsia="仿宋" w:cs="仿宋"/>
          <w:b w:val="0"/>
          <w:bCs w:val="0"/>
          <w:color w:val="auto"/>
          <w:kern w:val="0"/>
          <w:sz w:val="24"/>
          <w:highlight w:val="none"/>
        </w:rPr>
        <w:t>的，代理机构应当停止谈判活动，封存所有响应文件及评审资料，依法重新组建谈判小组进行谈判。原谈判小组所作出的谈判意见无效。</w:t>
      </w:r>
    </w:p>
    <w:p w14:paraId="6B9B8DD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18</w:t>
      </w:r>
      <w:r>
        <w:rPr>
          <w:rFonts w:hint="eastAsia" w:ascii="仿宋" w:hAnsi="仿宋" w:eastAsia="仿宋" w:cs="仿宋"/>
          <w:b w:val="0"/>
          <w:bCs w:val="0"/>
          <w:color w:val="auto"/>
          <w:kern w:val="0"/>
          <w:sz w:val="24"/>
          <w:highlight w:val="none"/>
        </w:rPr>
        <w:t>.7代理机构应当将变更、重新组建谈判小组的情况予以记录，并随采购文件一并存档。</w:t>
      </w:r>
    </w:p>
    <w:p w14:paraId="2AD256EF">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eastAsia="zh-CN"/>
        </w:rPr>
        <w:t>19</w:t>
      </w:r>
      <w:r>
        <w:rPr>
          <w:rFonts w:hint="eastAsia" w:ascii="仿宋" w:hAnsi="仿宋" w:eastAsia="仿宋" w:cs="仿宋"/>
          <w:b/>
          <w:bCs/>
          <w:color w:val="auto"/>
          <w:kern w:val="0"/>
          <w:sz w:val="24"/>
          <w:highlight w:val="none"/>
        </w:rPr>
        <w:t>.响应文件的评审</w:t>
      </w:r>
    </w:p>
    <w:p w14:paraId="09C7F37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.1谈判</w:t>
      </w:r>
      <w:r>
        <w:rPr>
          <w:rFonts w:hint="eastAsia" w:ascii="仿宋" w:hAnsi="仿宋" w:eastAsia="仿宋" w:cs="仿宋"/>
          <w:b w:val="0"/>
          <w:bCs w:val="0"/>
          <w:color w:val="auto"/>
          <w:kern w:val="0"/>
          <w:sz w:val="24"/>
          <w:highlight w:val="none"/>
          <w:lang w:val="en-US" w:eastAsia="zh-CN"/>
        </w:rPr>
        <w:t>小</w:t>
      </w:r>
      <w:r>
        <w:rPr>
          <w:rFonts w:hint="eastAsia" w:ascii="仿宋" w:hAnsi="仿宋" w:eastAsia="仿宋" w:cs="仿宋"/>
          <w:b w:val="0"/>
          <w:bCs w:val="0"/>
          <w:color w:val="auto"/>
          <w:kern w:val="0"/>
          <w:sz w:val="24"/>
          <w:highlight w:val="none"/>
        </w:rPr>
        <w:t>组按照竞争性谈判文件要求对各供应商的响应文件进行有效性、完整性和响应性审查。审查各供应商的响应文件是否对竞争性谈判文件要求做出了实质性响应。响应文件的评审在</w:t>
      </w:r>
      <w:r>
        <w:rPr>
          <w:rFonts w:hint="eastAsia" w:ascii="仿宋" w:hAnsi="仿宋" w:eastAsia="仿宋" w:cs="仿宋"/>
          <w:color w:val="auto"/>
          <w:sz w:val="24"/>
          <w:highlight w:val="none"/>
          <w:lang w:val="en-US" w:eastAsia="zh-CN"/>
        </w:rPr>
        <w:t>山西省政府采购网</w:t>
      </w:r>
      <w:r>
        <w:rPr>
          <w:rFonts w:hint="eastAsia" w:ascii="仿宋" w:hAnsi="仿宋" w:eastAsia="仿宋" w:cs="仿宋"/>
          <w:b w:val="0"/>
          <w:bCs w:val="0"/>
          <w:color w:val="auto"/>
          <w:kern w:val="0"/>
          <w:sz w:val="24"/>
          <w:highlight w:val="none"/>
        </w:rPr>
        <w:t>进行。</w:t>
      </w:r>
    </w:p>
    <w:p w14:paraId="754DCA9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.1.1资格性检查：由</w:t>
      </w:r>
      <w:r>
        <w:rPr>
          <w:rFonts w:hint="eastAsia" w:ascii="仿宋" w:hAnsi="仿宋" w:eastAsia="仿宋" w:cs="仿宋"/>
          <w:b w:val="0"/>
          <w:bCs w:val="0"/>
          <w:color w:val="auto"/>
          <w:kern w:val="0"/>
          <w:sz w:val="24"/>
          <w:highlight w:val="none"/>
          <w:lang w:eastAsia="zh-CN"/>
        </w:rPr>
        <w:t>谈判小组</w:t>
      </w:r>
      <w:r>
        <w:rPr>
          <w:rFonts w:hint="eastAsia" w:ascii="仿宋" w:hAnsi="仿宋" w:eastAsia="仿宋" w:cs="仿宋"/>
          <w:b w:val="0"/>
          <w:bCs w:val="0"/>
          <w:color w:val="auto"/>
          <w:kern w:val="0"/>
          <w:sz w:val="24"/>
          <w:highlight w:val="none"/>
        </w:rPr>
        <w:t>依据法律法规和竞争性谈判文件的规定，对各供应商响应文件中的资格证明文件进行审查，以确定供应商是否具备谈判资格。</w:t>
      </w:r>
    </w:p>
    <w:p w14:paraId="4AF2F9B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.1.2符合性检查：由</w:t>
      </w:r>
      <w:r>
        <w:rPr>
          <w:rFonts w:hint="eastAsia" w:ascii="仿宋" w:hAnsi="仿宋" w:eastAsia="仿宋" w:cs="仿宋"/>
          <w:b w:val="0"/>
          <w:bCs w:val="0"/>
          <w:color w:val="auto"/>
          <w:kern w:val="0"/>
          <w:sz w:val="24"/>
          <w:highlight w:val="none"/>
          <w:lang w:eastAsia="zh-CN"/>
        </w:rPr>
        <w:t>谈判小组</w:t>
      </w:r>
      <w:r>
        <w:rPr>
          <w:rFonts w:hint="eastAsia" w:ascii="仿宋" w:hAnsi="仿宋" w:eastAsia="仿宋" w:cs="仿宋"/>
          <w:b w:val="0"/>
          <w:bCs w:val="0"/>
          <w:color w:val="auto"/>
          <w:kern w:val="0"/>
          <w:sz w:val="24"/>
          <w:highlight w:val="none"/>
        </w:rPr>
        <w:t>依据竞争性谈判文件的规定，对资格性审查合格的3家及以上供应商的响应文件的所有条款、条件和规格进行审查，以确定是否对竞争性谈判文件做出实质性响应。</w:t>
      </w:r>
    </w:p>
    <w:p w14:paraId="16889CD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2在审查过程中，谈判小组可以要求供应商对响应文件中含义不明确、同类问题表述不一致或者有明显文字和计算错误的内容等作出必要的澄清、说明或者补正。但供应商的澄清、说明或者更正不得超过响应文件的范围或者改变响应文件的实质性内容。</w:t>
      </w:r>
    </w:p>
    <w:p w14:paraId="2439428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.3竞争性谈判小组要求供应商澄清、说明或者更正响应文件应当以</w:t>
      </w:r>
      <w:r>
        <w:rPr>
          <w:rFonts w:hint="eastAsia" w:ascii="仿宋" w:hAnsi="仿宋" w:eastAsia="仿宋" w:cs="仿宋"/>
          <w:b w:val="0"/>
          <w:bCs w:val="0"/>
          <w:color w:val="auto"/>
          <w:kern w:val="0"/>
          <w:sz w:val="24"/>
          <w:highlight w:val="none"/>
          <w:lang w:val="en-US" w:eastAsia="zh-CN"/>
        </w:rPr>
        <w:t>电子</w:t>
      </w:r>
      <w:r>
        <w:rPr>
          <w:rFonts w:hint="eastAsia" w:ascii="仿宋" w:hAnsi="仿宋" w:eastAsia="仿宋" w:cs="仿宋"/>
          <w:b w:val="0"/>
          <w:bCs w:val="0"/>
          <w:color w:val="auto"/>
          <w:kern w:val="0"/>
          <w:sz w:val="24"/>
          <w:highlight w:val="none"/>
        </w:rPr>
        <w:t>形式作出。供应商的澄清、说明或者更正应当由法定代表人或其授权代表签字或者加盖公章。由授权代表签字的，应当附法定代表</w:t>
      </w:r>
      <w:r>
        <w:rPr>
          <w:rFonts w:hint="eastAsia" w:ascii="仿宋" w:hAnsi="仿宋" w:eastAsia="仿宋" w:cs="仿宋"/>
          <w:b w:val="0"/>
          <w:bCs w:val="0"/>
          <w:color w:val="auto"/>
          <w:kern w:val="0"/>
          <w:sz w:val="24"/>
          <w:highlight w:val="none"/>
          <w:lang w:val="en-US" w:eastAsia="zh-CN"/>
        </w:rPr>
        <w:t>人</w:t>
      </w:r>
      <w:r>
        <w:rPr>
          <w:rFonts w:hint="eastAsia" w:ascii="仿宋" w:hAnsi="仿宋" w:eastAsia="仿宋" w:cs="仿宋"/>
          <w:b w:val="0"/>
          <w:bCs w:val="0"/>
          <w:color w:val="auto"/>
          <w:kern w:val="0"/>
          <w:sz w:val="24"/>
          <w:highlight w:val="none"/>
        </w:rPr>
        <w:t>授权书。供应商为自然人的，应当由本人签字并附身份证明，并在</w:t>
      </w:r>
      <w:r>
        <w:rPr>
          <w:rFonts w:hint="eastAsia" w:ascii="仿宋" w:hAnsi="仿宋" w:eastAsia="仿宋" w:cs="仿宋"/>
          <w:color w:val="auto"/>
          <w:sz w:val="24"/>
          <w:highlight w:val="none"/>
          <w:lang w:val="en-US" w:eastAsia="zh-CN"/>
        </w:rPr>
        <w:t>山西省政府采购网</w:t>
      </w:r>
      <w:r>
        <w:rPr>
          <w:rFonts w:hint="eastAsia" w:ascii="仿宋" w:hAnsi="仿宋" w:eastAsia="仿宋" w:cs="仿宋"/>
          <w:b w:val="0"/>
          <w:bCs w:val="0"/>
          <w:color w:val="auto"/>
          <w:kern w:val="0"/>
          <w:sz w:val="24"/>
          <w:highlight w:val="none"/>
        </w:rPr>
        <w:t>上传。</w:t>
      </w:r>
    </w:p>
    <w:p w14:paraId="79AC677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.4实质上响应的响应文件是指与竞争性谈判文件的主要条款、条件和规格相符，经</w:t>
      </w:r>
      <w:r>
        <w:rPr>
          <w:rFonts w:hint="eastAsia" w:ascii="仿宋" w:hAnsi="仿宋" w:eastAsia="仿宋" w:cs="仿宋"/>
          <w:b w:val="0"/>
          <w:bCs w:val="0"/>
          <w:color w:val="auto"/>
          <w:kern w:val="0"/>
          <w:sz w:val="24"/>
          <w:highlight w:val="none"/>
          <w:lang w:eastAsia="zh-CN"/>
        </w:rPr>
        <w:t>谈判小组</w:t>
      </w:r>
      <w:r>
        <w:rPr>
          <w:rFonts w:hint="eastAsia" w:ascii="仿宋" w:hAnsi="仿宋" w:eastAsia="仿宋" w:cs="仿宋"/>
          <w:b w:val="0"/>
          <w:bCs w:val="0"/>
          <w:color w:val="auto"/>
          <w:kern w:val="0"/>
          <w:sz w:val="24"/>
          <w:highlight w:val="none"/>
        </w:rPr>
        <w:t>认定的没有偏离的响应文件。</w:t>
      </w:r>
    </w:p>
    <w:p w14:paraId="4127C2F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4.1重大偏离系指响应文件中的签署、盖章及投标服务名称、数量和合同履行期限、付款方式、验收标准等与谈判文件要求不一致或明显不能满足谈判文件要求，而且限制了采购人的权利或供应商的义务，纠正这些偏离将对其他实质上响应谈判要求的供应商的竞争地位产生不公正的影响。包括但不限于：</w:t>
      </w:r>
    </w:p>
    <w:p w14:paraId="2C490CE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A．本文件对“供应商须知前附表”第11条中带*号的商务、</w:t>
      </w:r>
      <w:r>
        <w:rPr>
          <w:rFonts w:hint="eastAsia" w:ascii="仿宋" w:hAnsi="仿宋" w:eastAsia="仿宋" w:cs="仿宋"/>
          <w:b w:val="0"/>
          <w:bCs w:val="0"/>
          <w:color w:val="auto"/>
          <w:kern w:val="0"/>
          <w:sz w:val="24"/>
          <w:highlight w:val="none"/>
          <w:lang w:val="en-US" w:eastAsia="zh-CN"/>
        </w:rPr>
        <w:t>技术</w:t>
      </w:r>
      <w:r>
        <w:rPr>
          <w:rFonts w:hint="eastAsia" w:ascii="仿宋" w:hAnsi="仿宋" w:eastAsia="仿宋" w:cs="仿宋"/>
          <w:b w:val="0"/>
          <w:bCs w:val="0"/>
          <w:color w:val="auto"/>
          <w:kern w:val="0"/>
          <w:sz w:val="24"/>
          <w:highlight w:val="none"/>
        </w:rPr>
        <w:t>文件未实质上响应；</w:t>
      </w:r>
    </w:p>
    <w:p w14:paraId="0678636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B．未按竞争性谈判文件的规定密封、签署、盖章的；</w:t>
      </w:r>
    </w:p>
    <w:p w14:paraId="5185882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C．响应文件有效期不足的；</w:t>
      </w:r>
    </w:p>
    <w:p w14:paraId="215EC21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D．“报价一览表”中报价</w:t>
      </w:r>
      <w:r>
        <w:rPr>
          <w:rFonts w:hint="eastAsia" w:ascii="仿宋" w:hAnsi="仿宋" w:eastAsia="仿宋" w:cs="仿宋"/>
          <w:b w:val="0"/>
          <w:bCs w:val="0"/>
          <w:color w:val="auto"/>
          <w:kern w:val="0"/>
          <w:sz w:val="24"/>
          <w:highlight w:val="none"/>
          <w:lang w:val="en-US" w:eastAsia="zh-CN"/>
        </w:rPr>
        <w:t>货物</w:t>
      </w:r>
      <w:r>
        <w:rPr>
          <w:rFonts w:hint="eastAsia" w:ascii="仿宋" w:hAnsi="仿宋" w:eastAsia="仿宋" w:cs="仿宋"/>
          <w:b w:val="0"/>
          <w:bCs w:val="0"/>
          <w:color w:val="auto"/>
          <w:kern w:val="0"/>
          <w:sz w:val="24"/>
          <w:highlight w:val="none"/>
        </w:rPr>
        <w:t>等与竞争性谈判文件要求不符的；合同履行期限、款项支付意见、售后服务要求、服务标准、验收标准、采购需求等不满足竞争性谈判文件中的相关要求的；</w:t>
      </w:r>
    </w:p>
    <w:p w14:paraId="5262BD6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E．未按照竞争性谈判文件规定报价的；报价超过竞争性谈判文件中规定的预算金额或者最高限价的；</w:t>
      </w:r>
    </w:p>
    <w:p w14:paraId="5AD85D5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F．不符合竞争性谈判文件中有关分包、转包规定的；</w:t>
      </w:r>
    </w:p>
    <w:p w14:paraId="16B5EFF7">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G．联合体响应文件未附联合体报价协议书的；</w:t>
      </w:r>
    </w:p>
    <w:p w14:paraId="43893D7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H．响应文件附有采购人不能接受的条件；</w:t>
      </w:r>
    </w:p>
    <w:p w14:paraId="4C8226B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I．不符合响应文件中规定的其他实质性要求。</w:t>
      </w:r>
    </w:p>
    <w:p w14:paraId="3F8992AE">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.4.2重大偏离不允许在开启后修正。</w:t>
      </w:r>
    </w:p>
    <w:p w14:paraId="17FC3E7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.4.3响应文件如果未对竞争性谈判文件要求做出实质上响应，谈判将予以拒绝，供应商不得再对响应文件进行任何修正从而使其成为实质上响应的报价。</w:t>
      </w:r>
    </w:p>
    <w:p w14:paraId="6D33C60E">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19.5</w:t>
      </w:r>
      <w:r>
        <w:rPr>
          <w:rFonts w:hint="eastAsia" w:ascii="仿宋" w:hAnsi="仿宋" w:eastAsia="仿宋" w:cs="仿宋"/>
          <w:b w:val="0"/>
          <w:bCs w:val="0"/>
          <w:color w:val="auto"/>
          <w:kern w:val="0"/>
          <w:sz w:val="24"/>
          <w:highlight w:val="none"/>
        </w:rPr>
        <w:t>多家代理商代理一家制造商的同一品牌、同一型号货物/服务参加报价的，按一家供应商计算供应商数量。若某包内包含多种产品的，以加</w:t>
      </w:r>
      <w:r>
        <w:rPr>
          <w:rFonts w:hint="eastAsia" w:ascii="仿宋" w:hAnsi="仿宋" w:eastAsia="仿宋" w:cs="仿宋"/>
          <w:b w:val="0"/>
          <w:bCs w:val="0"/>
          <w:color w:val="auto"/>
          <w:kern w:val="0"/>
          <w:sz w:val="24"/>
          <w:highlight w:val="none"/>
          <w:lang w:eastAsia="zh-CN"/>
        </w:rPr>
        <w:t>“※”</w:t>
      </w:r>
      <w:r>
        <w:rPr>
          <w:rFonts w:hint="eastAsia" w:ascii="仿宋" w:hAnsi="仿宋" w:eastAsia="仿宋" w:cs="仿宋"/>
          <w:b w:val="0"/>
          <w:bCs w:val="0"/>
          <w:color w:val="auto"/>
          <w:kern w:val="0"/>
          <w:sz w:val="24"/>
          <w:highlight w:val="none"/>
        </w:rPr>
        <w:t>号作为主要产品来确定，如果加</w:t>
      </w:r>
      <w:r>
        <w:rPr>
          <w:rFonts w:hint="eastAsia" w:ascii="仿宋" w:hAnsi="仿宋" w:eastAsia="仿宋" w:cs="仿宋"/>
          <w:b w:val="0"/>
          <w:bCs w:val="0"/>
          <w:color w:val="auto"/>
          <w:kern w:val="0"/>
          <w:sz w:val="24"/>
          <w:highlight w:val="none"/>
          <w:lang w:eastAsia="zh-CN"/>
        </w:rPr>
        <w:t>“※”</w:t>
      </w:r>
      <w:r>
        <w:rPr>
          <w:rFonts w:hint="eastAsia" w:ascii="仿宋" w:hAnsi="仿宋" w:eastAsia="仿宋" w:cs="仿宋"/>
          <w:b w:val="0"/>
          <w:bCs w:val="0"/>
          <w:color w:val="auto"/>
          <w:kern w:val="0"/>
          <w:sz w:val="24"/>
          <w:highlight w:val="none"/>
        </w:rPr>
        <w:t>号产品的品牌、型号完全相同，则按一家供应商计算供应商数量。</w:t>
      </w:r>
    </w:p>
    <w:p w14:paraId="2CD1EF8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政策性因素评审要求见供应商须知前附表第</w:t>
      </w:r>
      <w:r>
        <w:rPr>
          <w:rFonts w:hint="eastAsia" w:ascii="仿宋" w:hAnsi="仿宋" w:eastAsia="仿宋" w:cs="仿宋"/>
          <w:b w:val="0"/>
          <w:bCs w:val="0"/>
          <w:color w:val="auto"/>
          <w:kern w:val="0"/>
          <w:sz w:val="24"/>
          <w:highlight w:val="none"/>
          <w:lang w:val="en-US" w:eastAsia="zh-CN"/>
        </w:rPr>
        <w:t>二十三</w:t>
      </w:r>
      <w:r>
        <w:rPr>
          <w:rFonts w:hint="eastAsia" w:ascii="仿宋" w:hAnsi="仿宋" w:eastAsia="仿宋" w:cs="仿宋"/>
          <w:b w:val="0"/>
          <w:bCs w:val="0"/>
          <w:color w:val="auto"/>
          <w:kern w:val="0"/>
          <w:sz w:val="24"/>
          <w:highlight w:val="none"/>
        </w:rPr>
        <w:t>条规定。</w:t>
      </w:r>
    </w:p>
    <w:p w14:paraId="010BD18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w:t>
      </w:r>
      <w:r>
        <w:rPr>
          <w:rFonts w:hint="eastAsia" w:ascii="仿宋" w:hAnsi="仿宋" w:eastAsia="仿宋" w:cs="仿宋"/>
          <w:b w:val="0"/>
          <w:bCs w:val="0"/>
          <w:color w:val="auto"/>
          <w:kern w:val="0"/>
          <w:sz w:val="24"/>
          <w:highlight w:val="none"/>
          <w:lang w:val="en-US" w:eastAsia="zh-CN"/>
        </w:rPr>
        <w:t>7</w:t>
      </w:r>
      <w:r>
        <w:rPr>
          <w:rFonts w:hint="eastAsia" w:ascii="仿宋" w:hAnsi="仿宋" w:eastAsia="仿宋" w:cs="仿宋"/>
          <w:b w:val="0"/>
          <w:bCs w:val="0"/>
          <w:color w:val="auto"/>
          <w:kern w:val="0"/>
          <w:sz w:val="24"/>
          <w:highlight w:val="none"/>
        </w:rPr>
        <w:t>谈判小组对响应文件的判定,只依据响应文件内容本身,不依据任何外来证明。</w:t>
      </w:r>
    </w:p>
    <w:p w14:paraId="3BBEC1E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19</w:t>
      </w:r>
      <w:r>
        <w:rPr>
          <w:rFonts w:hint="eastAsia" w:ascii="仿宋" w:hAnsi="仿宋" w:eastAsia="仿宋" w:cs="仿宋"/>
          <w:b w:val="0"/>
          <w:bCs w:val="0"/>
          <w:color w:val="auto"/>
          <w:kern w:val="0"/>
          <w:sz w:val="24"/>
          <w:highlight w:val="none"/>
        </w:rPr>
        <w:t>.</w:t>
      </w:r>
      <w:r>
        <w:rPr>
          <w:rFonts w:hint="eastAsia" w:ascii="仿宋" w:hAnsi="仿宋" w:eastAsia="仿宋" w:cs="仿宋"/>
          <w:b w:val="0"/>
          <w:bCs w:val="0"/>
          <w:color w:val="auto"/>
          <w:kern w:val="0"/>
          <w:sz w:val="24"/>
          <w:highlight w:val="none"/>
          <w:lang w:val="en-US" w:eastAsia="zh-CN"/>
        </w:rPr>
        <w:t>8</w:t>
      </w:r>
      <w:r>
        <w:rPr>
          <w:rFonts w:hint="eastAsia" w:ascii="仿宋" w:hAnsi="仿宋" w:eastAsia="仿宋" w:cs="仿宋"/>
          <w:b w:val="0"/>
          <w:bCs w:val="0"/>
          <w:color w:val="auto"/>
          <w:kern w:val="0"/>
          <w:sz w:val="24"/>
          <w:highlight w:val="none"/>
        </w:rPr>
        <w:t>谈判小组各评审专家在资格性、符合性审查之后，应做‘评审记录’。</w:t>
      </w:r>
    </w:p>
    <w:p w14:paraId="2A9CAC67">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19</w:t>
      </w:r>
      <w:r>
        <w:rPr>
          <w:rFonts w:hint="eastAsia" w:ascii="仿宋" w:hAnsi="仿宋" w:eastAsia="仿宋" w:cs="仿宋"/>
          <w:b w:val="0"/>
          <w:bCs w:val="0"/>
          <w:color w:val="auto"/>
          <w:kern w:val="0"/>
          <w:sz w:val="24"/>
          <w:highlight w:val="none"/>
        </w:rPr>
        <w:t>.</w:t>
      </w:r>
      <w:r>
        <w:rPr>
          <w:rFonts w:hint="eastAsia" w:ascii="仿宋" w:hAnsi="仿宋" w:eastAsia="仿宋" w:cs="仿宋"/>
          <w:b w:val="0"/>
          <w:bCs w:val="0"/>
          <w:color w:val="auto"/>
          <w:kern w:val="0"/>
          <w:sz w:val="24"/>
          <w:highlight w:val="none"/>
          <w:lang w:val="en-US" w:eastAsia="zh-CN"/>
        </w:rPr>
        <w:t>9</w:t>
      </w:r>
      <w:r>
        <w:rPr>
          <w:rFonts w:hint="eastAsia" w:ascii="仿宋" w:hAnsi="仿宋" w:eastAsia="仿宋" w:cs="仿宋"/>
          <w:b w:val="0"/>
          <w:bCs w:val="0"/>
          <w:color w:val="auto"/>
          <w:kern w:val="0"/>
          <w:sz w:val="24"/>
          <w:highlight w:val="none"/>
        </w:rPr>
        <w:t>响应文件评审结束，未实质上响应竞争性谈判文件的响应文件按无效处理，谈判小组应当告知有关供应商。</w:t>
      </w:r>
    </w:p>
    <w:p w14:paraId="0E929F95">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eastAsia="zh-CN"/>
        </w:rPr>
        <w:t>20</w:t>
      </w:r>
      <w:r>
        <w:rPr>
          <w:rFonts w:hint="eastAsia" w:ascii="仿宋" w:hAnsi="仿宋" w:eastAsia="仿宋" w:cs="仿宋"/>
          <w:b/>
          <w:bCs/>
          <w:color w:val="auto"/>
          <w:kern w:val="0"/>
          <w:sz w:val="24"/>
          <w:highlight w:val="none"/>
        </w:rPr>
        <w:t>.谈判</w:t>
      </w:r>
    </w:p>
    <w:p w14:paraId="2EB50C3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20</w:t>
      </w:r>
      <w:r>
        <w:rPr>
          <w:rFonts w:hint="eastAsia" w:ascii="仿宋" w:hAnsi="仿宋" w:eastAsia="仿宋" w:cs="仿宋"/>
          <w:b w:val="0"/>
          <w:bCs w:val="0"/>
          <w:color w:val="auto"/>
          <w:kern w:val="0"/>
          <w:sz w:val="24"/>
          <w:highlight w:val="none"/>
        </w:rPr>
        <w:t>.1谈判小组按照各供应商的签到顺序，与响应竞争性谈判文件要求的3家及以上的供应商就本次采购货物的技术、服务要求以及合同草案进行谈判。</w:t>
      </w:r>
    </w:p>
    <w:p w14:paraId="4B7C6A9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2</w:t>
      </w:r>
      <w:r>
        <w:rPr>
          <w:rFonts w:hint="eastAsia" w:ascii="仿宋" w:hAnsi="仿宋" w:eastAsia="仿宋" w:cs="仿宋"/>
          <w:b w:val="0"/>
          <w:bCs w:val="0"/>
          <w:color w:val="auto"/>
          <w:kern w:val="0"/>
          <w:sz w:val="24"/>
          <w:highlight w:val="none"/>
          <w:lang w:val="en-US" w:eastAsia="zh-CN"/>
        </w:rPr>
        <w:t>0</w:t>
      </w:r>
      <w:r>
        <w:rPr>
          <w:rFonts w:hint="eastAsia" w:ascii="仿宋" w:hAnsi="仿宋" w:eastAsia="仿宋" w:cs="仿宋"/>
          <w:b w:val="0"/>
          <w:bCs w:val="0"/>
          <w:color w:val="auto"/>
          <w:kern w:val="0"/>
          <w:sz w:val="24"/>
          <w:highlight w:val="none"/>
        </w:rPr>
        <w:t>.2谈判小组所有成员应当集中与单一供应商分别进行谈判，并给予所有参加谈判的供应商平等的谈判机会。</w:t>
      </w:r>
    </w:p>
    <w:p w14:paraId="092A0A7B">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eastAsia="zh-CN"/>
        </w:rPr>
        <w:t>21</w:t>
      </w:r>
      <w:r>
        <w:rPr>
          <w:rFonts w:hint="eastAsia" w:ascii="仿宋" w:hAnsi="仿宋" w:eastAsia="仿宋" w:cs="仿宋"/>
          <w:b/>
          <w:bCs/>
          <w:color w:val="auto"/>
          <w:kern w:val="0"/>
          <w:sz w:val="24"/>
          <w:highlight w:val="none"/>
        </w:rPr>
        <w:t>.确定最终采购方案</w:t>
      </w:r>
    </w:p>
    <w:p w14:paraId="2FB276F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21</w:t>
      </w:r>
      <w:r>
        <w:rPr>
          <w:rFonts w:hint="eastAsia" w:ascii="仿宋" w:hAnsi="仿宋" w:eastAsia="仿宋" w:cs="仿宋"/>
          <w:b w:val="0"/>
          <w:bCs w:val="0"/>
          <w:color w:val="auto"/>
          <w:kern w:val="0"/>
          <w:sz w:val="24"/>
          <w:highlight w:val="none"/>
        </w:rPr>
        <w:t>.1在谈判过程中，谈判小组可以根据竞争性谈判文件和谈判情况实质性变动采购需求中的技术、服务要求以及合同草案条款，但不得变动竞争性谈判文件中的其他内容。实质性变动的内容，须经采购人代表确认。</w:t>
      </w:r>
    </w:p>
    <w:p w14:paraId="24E19A2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21</w:t>
      </w:r>
      <w:r>
        <w:rPr>
          <w:rFonts w:hint="eastAsia" w:ascii="仿宋" w:hAnsi="仿宋" w:eastAsia="仿宋" w:cs="仿宋"/>
          <w:b w:val="0"/>
          <w:bCs w:val="0"/>
          <w:color w:val="auto"/>
          <w:kern w:val="0"/>
          <w:sz w:val="24"/>
          <w:highlight w:val="none"/>
        </w:rPr>
        <w:t>.2对竞争性谈判文件做出的实质性变动是竞争性谈判文件的有效组成部分，谈判小组应当及时</w:t>
      </w:r>
      <w:r>
        <w:rPr>
          <w:rFonts w:hint="eastAsia" w:ascii="仿宋" w:hAnsi="仿宋" w:eastAsia="仿宋" w:cs="仿宋"/>
          <w:color w:val="auto"/>
          <w:sz w:val="24"/>
          <w:highlight w:val="none"/>
        </w:rPr>
        <w:t>在</w:t>
      </w:r>
      <w:r>
        <w:rPr>
          <w:rFonts w:hint="eastAsia" w:ascii="仿宋" w:hAnsi="仿宋" w:eastAsia="仿宋" w:cs="仿宋"/>
          <w:color w:val="auto"/>
          <w:sz w:val="24"/>
          <w:highlight w:val="none"/>
          <w:lang w:eastAsia="zh-CN"/>
        </w:rPr>
        <w:t>“政采云系统”以电子形式</w:t>
      </w:r>
      <w:r>
        <w:rPr>
          <w:rFonts w:hint="eastAsia" w:ascii="仿宋" w:hAnsi="仿宋" w:eastAsia="仿宋" w:cs="仿宋"/>
          <w:b w:val="0"/>
          <w:bCs w:val="0"/>
          <w:color w:val="auto"/>
          <w:kern w:val="0"/>
          <w:sz w:val="24"/>
          <w:highlight w:val="none"/>
        </w:rPr>
        <w:t>同时通知所有参加谈判的供应商。</w:t>
      </w:r>
    </w:p>
    <w:p w14:paraId="2B663C3A">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2</w:t>
      </w: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rPr>
        <w:t>.最终报价</w:t>
      </w:r>
    </w:p>
    <w:p w14:paraId="6EB3756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22</w:t>
      </w:r>
      <w:r>
        <w:rPr>
          <w:rFonts w:hint="eastAsia" w:ascii="仿宋" w:hAnsi="仿宋" w:eastAsia="仿宋" w:cs="仿宋"/>
          <w:b w:val="0"/>
          <w:bCs w:val="0"/>
          <w:color w:val="auto"/>
          <w:kern w:val="0"/>
          <w:sz w:val="24"/>
          <w:highlight w:val="none"/>
        </w:rPr>
        <w:t>.1谈判结束后，供应商进行最后报价，最后报价以电子形式进行，供应商须在谈判小组确定的最终报价时间内将电子最终报价在规定时间内上传至</w:t>
      </w:r>
      <w:r>
        <w:rPr>
          <w:rFonts w:hint="eastAsia" w:ascii="仿宋" w:hAnsi="仿宋" w:eastAsia="仿宋" w:cs="仿宋"/>
          <w:color w:val="auto"/>
          <w:sz w:val="24"/>
          <w:highlight w:val="none"/>
          <w:lang w:val="en-US" w:eastAsia="zh-CN"/>
        </w:rPr>
        <w:t>“政采云系统”</w:t>
      </w:r>
      <w:r>
        <w:rPr>
          <w:rFonts w:hint="eastAsia" w:ascii="仿宋" w:hAnsi="仿宋" w:eastAsia="仿宋" w:cs="仿宋"/>
          <w:b w:val="0"/>
          <w:bCs w:val="0"/>
          <w:color w:val="auto"/>
          <w:kern w:val="0"/>
          <w:sz w:val="24"/>
          <w:highlight w:val="none"/>
        </w:rPr>
        <w:t>。</w:t>
      </w:r>
    </w:p>
    <w:p w14:paraId="4E1DA9A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22</w:t>
      </w:r>
      <w:r>
        <w:rPr>
          <w:rFonts w:hint="eastAsia" w:ascii="仿宋" w:hAnsi="仿宋" w:eastAsia="仿宋" w:cs="仿宋"/>
          <w:b w:val="0"/>
          <w:bCs w:val="0"/>
          <w:color w:val="auto"/>
          <w:kern w:val="0"/>
          <w:sz w:val="24"/>
          <w:highlight w:val="none"/>
        </w:rPr>
        <w:t>.1.1竞争性谈判文件能够详细列明采购标的的技术、服务等要求的，谈判结束后，谈判小组应当要求所有实质性响应的供应商在规定时间内提交最后报价。提交最后报价的供应商不得少于3家。</w:t>
      </w:r>
    </w:p>
    <w:p w14:paraId="2141408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22</w:t>
      </w:r>
      <w:r>
        <w:rPr>
          <w:rFonts w:hint="eastAsia" w:ascii="仿宋" w:hAnsi="仿宋" w:eastAsia="仿宋" w:cs="仿宋"/>
          <w:b w:val="0"/>
          <w:bCs w:val="0"/>
          <w:color w:val="auto"/>
          <w:kern w:val="0"/>
          <w:sz w:val="24"/>
          <w:highlight w:val="none"/>
        </w:rPr>
        <w:t>.1.2竞争性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2D1B351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22</w:t>
      </w:r>
      <w:r>
        <w:rPr>
          <w:rFonts w:hint="eastAsia" w:ascii="仿宋" w:hAnsi="仿宋" w:eastAsia="仿宋" w:cs="仿宋"/>
          <w:b w:val="0"/>
          <w:bCs w:val="0"/>
          <w:color w:val="auto"/>
          <w:kern w:val="0"/>
          <w:sz w:val="24"/>
          <w:highlight w:val="none"/>
        </w:rPr>
        <w:t>.2已提交响应文件的供应商，在提交最后报价之前，可以根据谈判情况退出谈判。采购人、代理机构应当退还退出谈判的供应商的谈判保证金。</w:t>
      </w:r>
    </w:p>
    <w:p w14:paraId="19FFA8F4">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b w:val="0"/>
          <w:bCs w:val="0"/>
          <w:color w:val="auto"/>
          <w:kern w:val="0"/>
          <w:sz w:val="24"/>
          <w:highlight w:val="none"/>
          <w:lang w:eastAsia="zh-CN"/>
        </w:rPr>
        <w:t>22</w:t>
      </w:r>
      <w:r>
        <w:rPr>
          <w:rFonts w:hint="eastAsia" w:ascii="仿宋" w:hAnsi="仿宋" w:eastAsia="仿宋" w:cs="仿宋"/>
          <w:b w:val="0"/>
          <w:bCs w:val="0"/>
          <w:color w:val="auto"/>
          <w:kern w:val="0"/>
          <w:sz w:val="24"/>
          <w:highlight w:val="none"/>
        </w:rPr>
        <w:t>.3</w:t>
      </w:r>
      <w:r>
        <w:rPr>
          <w:rFonts w:hint="eastAsia" w:ascii="仿宋" w:hAnsi="仿宋" w:eastAsia="仿宋" w:cs="仿宋"/>
          <w:color w:val="auto"/>
          <w:sz w:val="24"/>
          <w:szCs w:val="24"/>
          <w:highlight w:val="none"/>
        </w:rPr>
        <w:t>异常低价审查</w:t>
      </w:r>
    </w:p>
    <w:p w14:paraId="01D8A498">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.3.1评审中出现下列情形之一的，谈判小组应当启动异常低价响应审查程序：</w:t>
      </w:r>
    </w:p>
    <w:p w14:paraId="292683E7">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（1）响应报价低于全部通过符合性审查供应商响应报价平均值</w:t>
      </w:r>
      <w:r>
        <w:rPr>
          <w:rFonts w:hint="eastAsia" w:ascii="仿宋" w:hAnsi="仿宋" w:eastAsia="仿宋" w:cs="仿宋"/>
          <w:color w:val="auto"/>
          <w:sz w:val="24"/>
          <w:szCs w:val="24"/>
          <w:highlight w:val="none"/>
          <w:lang w:eastAsia="zh-CN"/>
        </w:rPr>
        <w:t>65%</w:t>
      </w:r>
      <w:r>
        <w:rPr>
          <w:rFonts w:hint="eastAsia" w:ascii="仿宋" w:hAnsi="仿宋" w:eastAsia="仿宋" w:cs="仿宋"/>
          <w:color w:val="auto"/>
          <w:sz w:val="24"/>
          <w:szCs w:val="24"/>
          <w:highlight w:val="none"/>
        </w:rPr>
        <w:t>的，即响应报价＜全部通过符合性审查供应商响应报价平均值×</w:t>
      </w:r>
      <w:r>
        <w:rPr>
          <w:rFonts w:hint="eastAsia" w:ascii="仿宋" w:hAnsi="仿宋" w:eastAsia="仿宋" w:cs="仿宋"/>
          <w:color w:val="auto"/>
          <w:sz w:val="24"/>
          <w:szCs w:val="24"/>
          <w:highlight w:val="none"/>
          <w:lang w:eastAsia="zh-CN"/>
        </w:rPr>
        <w:t>65%</w:t>
      </w:r>
      <w:r>
        <w:rPr>
          <w:rFonts w:hint="eastAsia" w:ascii="仿宋" w:hAnsi="仿宋" w:eastAsia="仿宋" w:cs="仿宋"/>
          <w:color w:val="auto"/>
          <w:sz w:val="24"/>
          <w:szCs w:val="24"/>
          <w:highlight w:val="none"/>
        </w:rPr>
        <w:t>；</w:t>
      </w:r>
    </w:p>
    <w:p w14:paraId="197B67BF">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（2）响应报价低于通过符合性审查的次低报价供应商响应报价</w:t>
      </w:r>
      <w:r>
        <w:rPr>
          <w:rFonts w:hint="eastAsia" w:ascii="仿宋" w:hAnsi="仿宋" w:eastAsia="仿宋" w:cs="仿宋"/>
          <w:color w:val="auto"/>
          <w:sz w:val="24"/>
          <w:szCs w:val="24"/>
          <w:highlight w:val="none"/>
          <w:lang w:eastAsia="zh-CN"/>
        </w:rPr>
        <w:t>65%</w:t>
      </w:r>
      <w:r>
        <w:rPr>
          <w:rFonts w:hint="eastAsia" w:ascii="仿宋" w:hAnsi="仿宋" w:eastAsia="仿宋" w:cs="仿宋"/>
          <w:color w:val="auto"/>
          <w:sz w:val="24"/>
          <w:szCs w:val="24"/>
          <w:highlight w:val="none"/>
        </w:rPr>
        <w:t>的，即响应报价＜通过符合性审查的次低报价供应商响应报价×</w:t>
      </w:r>
      <w:r>
        <w:rPr>
          <w:rFonts w:hint="eastAsia" w:ascii="仿宋" w:hAnsi="仿宋" w:eastAsia="仿宋" w:cs="仿宋"/>
          <w:color w:val="auto"/>
          <w:sz w:val="24"/>
          <w:szCs w:val="24"/>
          <w:highlight w:val="none"/>
          <w:lang w:eastAsia="zh-CN"/>
        </w:rPr>
        <w:t>65%</w:t>
      </w:r>
      <w:r>
        <w:rPr>
          <w:rFonts w:hint="eastAsia" w:ascii="仿宋" w:hAnsi="仿宋" w:eastAsia="仿宋" w:cs="仿宋"/>
          <w:color w:val="auto"/>
          <w:sz w:val="24"/>
          <w:szCs w:val="24"/>
          <w:highlight w:val="none"/>
        </w:rPr>
        <w:t>；</w:t>
      </w:r>
    </w:p>
    <w:p w14:paraId="794D17E5">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（3）响应报价低于采购项目最高限价</w:t>
      </w:r>
      <w:r>
        <w:rPr>
          <w:rFonts w:hint="eastAsia" w:ascii="仿宋" w:hAnsi="仿宋" w:eastAsia="仿宋" w:cs="仿宋"/>
          <w:color w:val="auto"/>
          <w:sz w:val="24"/>
          <w:szCs w:val="24"/>
          <w:highlight w:val="none"/>
          <w:lang w:val="en-US" w:eastAsia="zh-CN"/>
        </w:rPr>
        <w:t>65</w:t>
      </w:r>
      <w:r>
        <w:rPr>
          <w:rFonts w:hint="eastAsia" w:ascii="仿宋" w:hAnsi="仿宋" w:eastAsia="仿宋" w:cs="仿宋"/>
          <w:color w:val="auto"/>
          <w:sz w:val="24"/>
          <w:szCs w:val="24"/>
          <w:highlight w:val="none"/>
        </w:rPr>
        <w:t>%的，即响应报价＜采购项目最高限价×</w:t>
      </w:r>
      <w:r>
        <w:rPr>
          <w:rFonts w:hint="eastAsia" w:ascii="仿宋" w:hAnsi="仿宋" w:eastAsia="仿宋" w:cs="仿宋"/>
          <w:color w:val="auto"/>
          <w:sz w:val="24"/>
          <w:szCs w:val="24"/>
          <w:highlight w:val="none"/>
          <w:lang w:val="en-US" w:eastAsia="zh-CN"/>
        </w:rPr>
        <w:t>65</w:t>
      </w:r>
      <w:r>
        <w:rPr>
          <w:rFonts w:hint="eastAsia" w:ascii="仿宋" w:hAnsi="仿宋" w:eastAsia="仿宋" w:cs="仿宋"/>
          <w:color w:val="auto"/>
          <w:sz w:val="24"/>
          <w:szCs w:val="24"/>
          <w:highlight w:val="none"/>
        </w:rPr>
        <w:t>%；</w:t>
      </w:r>
    </w:p>
    <w:p w14:paraId="48EB40DB">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（4）谈判小组基于专业判断，认为供应商报价过低，有可能影响产品质量或者不能诚信履约的其他情形。</w:t>
      </w:r>
    </w:p>
    <w:p w14:paraId="17EF7D03">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3.2谈判小组启动异常低价响应审查后，属于前述第1项至第4项情形的，应当要求相关供应商在合理的时间内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01976AB3">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3.3谈判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谈判小组应当将其作为无效响应处理。</w:t>
      </w:r>
    </w:p>
    <w:p w14:paraId="423553EA">
      <w:pPr>
        <w:tabs>
          <w:tab w:val="left" w:pos="567"/>
        </w:tabs>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3.4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469DA90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.3.5异常低价响应审查的启动原因、审查意见和审查结果应当在评审报告中记录，并随供应商提供的相关书面说明及证明材料，以及谈判小组有关互联网浏览、查询历史一并归档。</w:t>
      </w:r>
    </w:p>
    <w:p w14:paraId="3CEADB2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22</w:t>
      </w:r>
      <w:r>
        <w:rPr>
          <w:rFonts w:hint="eastAsia" w:ascii="仿宋" w:hAnsi="仿宋" w:eastAsia="仿宋" w:cs="仿宋"/>
          <w:b w:val="0"/>
          <w:bCs w:val="0"/>
          <w:color w:val="auto"/>
          <w:kern w:val="0"/>
          <w:sz w:val="24"/>
          <w:highlight w:val="none"/>
        </w:rPr>
        <w:t>.4最后报价是供应商响应文件的有效组成部分。</w:t>
      </w:r>
    </w:p>
    <w:p w14:paraId="6F6500A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22</w:t>
      </w:r>
      <w:r>
        <w:rPr>
          <w:rFonts w:hint="eastAsia" w:ascii="仿宋" w:hAnsi="仿宋" w:eastAsia="仿宋" w:cs="仿宋"/>
          <w:b w:val="0"/>
          <w:bCs w:val="0"/>
          <w:color w:val="auto"/>
          <w:kern w:val="0"/>
          <w:sz w:val="24"/>
          <w:highlight w:val="none"/>
        </w:rPr>
        <w:t>.5重新提交的响应文件由其法定代表人或授权代表签字或者加盖公章。由授权代表签字的，应当附法定代表人授权书。供应商为自然人的，应当由本人签字并附身份证明。</w:t>
      </w:r>
    </w:p>
    <w:p w14:paraId="053B3FF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重新提交的响应文件</w:t>
      </w:r>
      <w:r>
        <w:rPr>
          <w:rFonts w:hint="eastAsia" w:ascii="仿宋" w:hAnsi="仿宋" w:eastAsia="仿宋" w:cs="仿宋"/>
          <w:b w:val="0"/>
          <w:bCs w:val="0"/>
          <w:color w:val="auto"/>
          <w:kern w:val="0"/>
          <w:sz w:val="24"/>
          <w:highlight w:val="none"/>
          <w:lang w:val="en-US" w:eastAsia="zh-CN"/>
        </w:rPr>
        <w:t>有</w:t>
      </w:r>
      <w:r>
        <w:rPr>
          <w:rFonts w:hint="eastAsia" w:ascii="仿宋" w:hAnsi="仿宋" w:eastAsia="仿宋" w:cs="仿宋"/>
          <w:b w:val="0"/>
          <w:bCs w:val="0"/>
          <w:color w:val="auto"/>
          <w:kern w:val="0"/>
          <w:sz w:val="24"/>
          <w:highlight w:val="none"/>
        </w:rPr>
        <w:t>下列情况之一者将视为报价无效：</w:t>
      </w:r>
    </w:p>
    <w:p w14:paraId="624A92C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（1）响应文件未按规定标记、密封的；</w:t>
      </w:r>
    </w:p>
    <w:p w14:paraId="629604E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（2）未在指定位置加盖供应商公章和法定代表人或其授权代表签章的；</w:t>
      </w:r>
    </w:p>
    <w:p w14:paraId="5C974DC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（3）未按规定时间以后送达的响应文件；</w:t>
      </w:r>
    </w:p>
    <w:p w14:paraId="7381D39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（4）提交的响应文件有效期短于竞争性谈判文件规定有效期的；</w:t>
      </w:r>
    </w:p>
    <w:p w14:paraId="1C19A69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（5）未按谈判小组要求对响应文件进行澄清（说明或者更正）的；</w:t>
      </w:r>
    </w:p>
    <w:p w14:paraId="0FC4B8A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（6）谈判小组对重新提交的响应文件评审后，认为在有效性、完整性和响应程度方面没有实质性响应竞争性谈判文件的。</w:t>
      </w:r>
    </w:p>
    <w:p w14:paraId="04680082">
      <w:pPr>
        <w:tabs>
          <w:tab w:val="left" w:pos="567"/>
        </w:tabs>
        <w:snapToGrid w:val="0"/>
        <w:spacing w:line="360" w:lineRule="auto"/>
        <w:ind w:firstLine="482" w:firstLineChars="200"/>
        <w:rPr>
          <w:rFonts w:hint="eastAsia" w:ascii="仿宋" w:hAnsi="仿宋" w:eastAsia="仿宋" w:cs="仿宋"/>
          <w:b/>
          <w:bCs/>
          <w:color w:val="auto"/>
          <w:kern w:val="0"/>
          <w:sz w:val="24"/>
          <w:highlight w:val="none"/>
          <w:lang w:eastAsia="zh-CN"/>
        </w:rPr>
      </w:pPr>
      <w:r>
        <w:rPr>
          <w:rFonts w:hint="eastAsia" w:ascii="仿宋" w:hAnsi="仿宋" w:eastAsia="仿宋" w:cs="仿宋"/>
          <w:b/>
          <w:bCs/>
          <w:color w:val="auto"/>
          <w:kern w:val="0"/>
          <w:sz w:val="24"/>
          <w:highlight w:val="none"/>
          <w:lang w:eastAsia="zh-CN"/>
        </w:rPr>
        <w:t>23</w:t>
      </w:r>
      <w:r>
        <w:rPr>
          <w:rFonts w:hint="eastAsia" w:ascii="仿宋" w:hAnsi="仿宋" w:eastAsia="仿宋" w:cs="仿宋"/>
          <w:b/>
          <w:bCs/>
          <w:color w:val="auto"/>
          <w:kern w:val="0"/>
          <w:sz w:val="24"/>
          <w:highlight w:val="none"/>
        </w:rPr>
        <w:t>.确定</w:t>
      </w:r>
      <w:r>
        <w:rPr>
          <w:rFonts w:hint="eastAsia" w:ascii="仿宋" w:hAnsi="仿宋" w:eastAsia="仿宋" w:cs="仿宋"/>
          <w:b/>
          <w:bCs/>
          <w:color w:val="auto"/>
          <w:kern w:val="0"/>
          <w:sz w:val="24"/>
          <w:highlight w:val="none"/>
          <w:lang w:eastAsia="zh-CN"/>
        </w:rPr>
        <w:t>成交供应商</w:t>
      </w:r>
    </w:p>
    <w:p w14:paraId="34B02E5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23</w:t>
      </w:r>
      <w:r>
        <w:rPr>
          <w:rFonts w:hint="eastAsia" w:ascii="仿宋" w:hAnsi="仿宋" w:eastAsia="仿宋" w:cs="仿宋"/>
          <w:b w:val="0"/>
          <w:bCs w:val="0"/>
          <w:color w:val="auto"/>
          <w:kern w:val="0"/>
          <w:sz w:val="24"/>
          <w:highlight w:val="none"/>
        </w:rPr>
        <w:t>.1确定成交候选人顺序</w:t>
      </w:r>
    </w:p>
    <w:p w14:paraId="5574F5B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23</w:t>
      </w:r>
      <w:r>
        <w:rPr>
          <w:rFonts w:hint="eastAsia" w:ascii="仿宋" w:hAnsi="仿宋" w:eastAsia="仿宋" w:cs="仿宋"/>
          <w:b w:val="0"/>
          <w:bCs w:val="0"/>
          <w:color w:val="auto"/>
          <w:kern w:val="0"/>
          <w:sz w:val="24"/>
          <w:highlight w:val="none"/>
        </w:rPr>
        <w:t>.1.1谈判小组应从质量和服务均能满足竞争性谈判文件实质性响应要求的供应商中，按照政府采购政策规定进行价格扣除，并按价格扣除后的评审报价由低到高的顺序提出3名以上成交候选人，并编写评审报告。</w:t>
      </w:r>
    </w:p>
    <w:p w14:paraId="351C895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23</w:t>
      </w:r>
      <w:r>
        <w:rPr>
          <w:rFonts w:hint="eastAsia" w:ascii="仿宋" w:hAnsi="仿宋" w:eastAsia="仿宋" w:cs="仿宋"/>
          <w:b w:val="0"/>
          <w:bCs w:val="0"/>
          <w:color w:val="auto"/>
          <w:kern w:val="0"/>
          <w:sz w:val="24"/>
          <w:highlight w:val="none"/>
        </w:rPr>
        <w:t>.1.2评审报价相同的，按照技术、服务等因素的优劣进行排列。</w:t>
      </w:r>
    </w:p>
    <w:p w14:paraId="0F463157">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lang w:eastAsia="zh-CN"/>
        </w:rPr>
      </w:pPr>
      <w:r>
        <w:rPr>
          <w:rFonts w:hint="eastAsia" w:ascii="仿宋" w:hAnsi="仿宋" w:eastAsia="仿宋" w:cs="仿宋"/>
          <w:b w:val="0"/>
          <w:bCs w:val="0"/>
          <w:color w:val="auto"/>
          <w:kern w:val="0"/>
          <w:sz w:val="24"/>
          <w:highlight w:val="none"/>
          <w:lang w:eastAsia="zh-CN"/>
        </w:rPr>
        <w:t>23</w:t>
      </w:r>
      <w:r>
        <w:rPr>
          <w:rFonts w:hint="eastAsia" w:ascii="仿宋" w:hAnsi="仿宋" w:eastAsia="仿宋" w:cs="仿宋"/>
          <w:b w:val="0"/>
          <w:bCs w:val="0"/>
          <w:color w:val="auto"/>
          <w:kern w:val="0"/>
          <w:sz w:val="24"/>
          <w:highlight w:val="none"/>
        </w:rPr>
        <w:t>.2确定</w:t>
      </w:r>
      <w:r>
        <w:rPr>
          <w:rFonts w:hint="eastAsia" w:ascii="仿宋" w:hAnsi="仿宋" w:eastAsia="仿宋" w:cs="仿宋"/>
          <w:b w:val="0"/>
          <w:bCs w:val="0"/>
          <w:color w:val="auto"/>
          <w:kern w:val="0"/>
          <w:sz w:val="24"/>
          <w:highlight w:val="none"/>
          <w:lang w:eastAsia="zh-CN"/>
        </w:rPr>
        <w:t>成交供应商</w:t>
      </w:r>
    </w:p>
    <w:p w14:paraId="4D727A2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23</w:t>
      </w:r>
      <w:r>
        <w:rPr>
          <w:rFonts w:hint="eastAsia" w:ascii="仿宋" w:hAnsi="仿宋" w:eastAsia="仿宋" w:cs="仿宋"/>
          <w:b w:val="0"/>
          <w:bCs w:val="0"/>
          <w:color w:val="auto"/>
          <w:kern w:val="0"/>
          <w:sz w:val="24"/>
          <w:highlight w:val="none"/>
        </w:rPr>
        <w:t>.2.1本次谈判比照</w:t>
      </w:r>
      <w:r>
        <w:rPr>
          <w:rFonts w:hint="eastAsia" w:ascii="仿宋" w:hAnsi="仿宋" w:eastAsia="仿宋" w:cs="仿宋"/>
          <w:b w:val="0"/>
          <w:bCs w:val="0"/>
          <w:color w:val="auto"/>
          <w:kern w:val="0"/>
          <w:sz w:val="24"/>
          <w:highlight w:val="none"/>
          <w:lang w:eastAsia="zh-CN"/>
        </w:rPr>
        <w:t>最低评标价法</w:t>
      </w:r>
      <w:r>
        <w:rPr>
          <w:rFonts w:hint="eastAsia" w:ascii="仿宋" w:hAnsi="仿宋" w:eastAsia="仿宋" w:cs="仿宋"/>
          <w:b w:val="0"/>
          <w:bCs w:val="0"/>
          <w:color w:val="auto"/>
          <w:kern w:val="0"/>
          <w:sz w:val="24"/>
          <w:highlight w:val="none"/>
        </w:rPr>
        <w:t>确定成交供应商，即从评审报告提出的成交候选人中，根据质量和服务均能满足竞争性谈判文件实质性响应要求且评审报价最低的原则确定</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w:t>
      </w:r>
    </w:p>
    <w:p w14:paraId="761DCD1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23</w:t>
      </w:r>
      <w:r>
        <w:rPr>
          <w:rFonts w:hint="eastAsia" w:ascii="仿宋" w:hAnsi="仿宋" w:eastAsia="仿宋" w:cs="仿宋"/>
          <w:b w:val="0"/>
          <w:bCs w:val="0"/>
          <w:color w:val="auto"/>
          <w:kern w:val="0"/>
          <w:sz w:val="24"/>
          <w:highlight w:val="none"/>
        </w:rPr>
        <w:t>.2.2本次谈判，授权谈判小组确定</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w:t>
      </w:r>
    </w:p>
    <w:p w14:paraId="246769AF">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eastAsia="zh-CN"/>
        </w:rPr>
        <w:t>24</w:t>
      </w:r>
      <w:r>
        <w:rPr>
          <w:rFonts w:hint="eastAsia" w:ascii="仿宋" w:hAnsi="仿宋" w:eastAsia="仿宋" w:cs="仿宋"/>
          <w:b/>
          <w:bCs/>
          <w:color w:val="auto"/>
          <w:kern w:val="0"/>
          <w:sz w:val="24"/>
          <w:highlight w:val="none"/>
        </w:rPr>
        <w:t>.编写评审报告</w:t>
      </w:r>
    </w:p>
    <w:p w14:paraId="014C21C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24</w:t>
      </w:r>
      <w:r>
        <w:rPr>
          <w:rFonts w:hint="eastAsia" w:ascii="仿宋" w:hAnsi="仿宋" w:eastAsia="仿宋" w:cs="仿宋"/>
          <w:b w:val="0"/>
          <w:bCs w:val="0"/>
          <w:color w:val="auto"/>
          <w:kern w:val="0"/>
          <w:sz w:val="24"/>
          <w:highlight w:val="none"/>
        </w:rPr>
        <w:t>.1谈判小组根据评审记录和评审结果编写评审报告。评审报告应当包括以下内容：</w:t>
      </w:r>
    </w:p>
    <w:p w14:paraId="3235BDC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（一）邀请供应商参加谈判活动的具体方式和相关情况（谈判公告刊登的媒体名称、报名情况、谈判日期和地点等）</w:t>
      </w:r>
    </w:p>
    <w:p w14:paraId="3BBC6CA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（二）供应商名单和谈判小组成员名单；</w:t>
      </w:r>
    </w:p>
    <w:p w14:paraId="47B9588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（三）评审程序和评定标准；</w:t>
      </w:r>
    </w:p>
    <w:p w14:paraId="6B2797E3">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（四）评审情况记录和说明，包括对供应商的资格审查情况、供应商响应文件评审情况、谈判情况、报价情况；</w:t>
      </w:r>
    </w:p>
    <w:p w14:paraId="3010849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（五）无效供应商名单及原因；</w:t>
      </w:r>
    </w:p>
    <w:p w14:paraId="5698549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（六）评审结果，提出的成交候选人的名单及理由；</w:t>
      </w:r>
    </w:p>
    <w:p w14:paraId="290B633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（七）确定的</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名单及理由（本项目授权谈判小组直接确定的</w:t>
      </w:r>
      <w:r>
        <w:rPr>
          <w:rFonts w:hint="eastAsia" w:ascii="仿宋" w:hAnsi="仿宋" w:eastAsia="仿宋" w:cs="仿宋"/>
          <w:b w:val="0"/>
          <w:bCs w:val="0"/>
          <w:color w:val="auto"/>
          <w:kern w:val="0"/>
          <w:sz w:val="24"/>
          <w:highlight w:val="none"/>
          <w:lang w:val="en-US" w:eastAsia="zh-CN"/>
        </w:rPr>
        <w:t>成交供应商</w:t>
      </w:r>
      <w:r>
        <w:rPr>
          <w:rFonts w:hint="eastAsia" w:ascii="仿宋" w:hAnsi="仿宋" w:eastAsia="仿宋" w:cs="仿宋"/>
          <w:b w:val="0"/>
          <w:bCs w:val="0"/>
          <w:color w:val="auto"/>
          <w:kern w:val="0"/>
          <w:sz w:val="24"/>
          <w:highlight w:val="none"/>
        </w:rPr>
        <w:t>）。</w:t>
      </w:r>
    </w:p>
    <w:p w14:paraId="13A682E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 xml:space="preserve">（八）其他需要说明的情况，包括评审过程中供应商根据谈判小组要求进行的澄清、说明或者补正，谈判小组成员的更换等。 </w:t>
      </w:r>
    </w:p>
    <w:p w14:paraId="1067BF8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24</w:t>
      </w:r>
      <w:r>
        <w:rPr>
          <w:rFonts w:hint="eastAsia" w:ascii="仿宋" w:hAnsi="仿宋" w:eastAsia="仿宋" w:cs="仿宋"/>
          <w:b w:val="0"/>
          <w:bCs w:val="0"/>
          <w:color w:val="auto"/>
          <w:kern w:val="0"/>
          <w:sz w:val="24"/>
          <w:highlight w:val="none"/>
        </w:rPr>
        <w:t>.2评审报告及评审结果由全体谈判小组成员签字确认。</w:t>
      </w:r>
    </w:p>
    <w:p w14:paraId="54F32B95">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24</w:t>
      </w:r>
      <w:r>
        <w:rPr>
          <w:rFonts w:hint="eastAsia" w:ascii="仿宋" w:hAnsi="仿宋" w:eastAsia="仿宋" w:cs="仿宋"/>
          <w:b w:val="0"/>
          <w:bCs w:val="0"/>
          <w:color w:val="auto"/>
          <w:kern w:val="0"/>
          <w:sz w:val="24"/>
          <w:highlight w:val="none"/>
        </w:rPr>
        <w:t>.3谈判小组成员对评审报告有异议的，按照少数服从多数的原则推荐成交候选人，采购程序继续进行。对评审报告有异议的谈判小组成员，应当在报告上签署不同意见并说明理由，由谈判小组书面记录相关情况。拒绝在报告上签字又不书面说明其不同意见和理由的。视为同意评审报告。</w:t>
      </w:r>
    </w:p>
    <w:p w14:paraId="64B7D40D">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eastAsia="zh-CN"/>
        </w:rPr>
        <w:t>25</w:t>
      </w:r>
      <w:r>
        <w:rPr>
          <w:rFonts w:hint="eastAsia" w:ascii="仿宋" w:hAnsi="仿宋" w:eastAsia="仿宋" w:cs="仿宋"/>
          <w:b/>
          <w:bCs/>
          <w:color w:val="auto"/>
          <w:kern w:val="0"/>
          <w:sz w:val="24"/>
          <w:highlight w:val="none"/>
        </w:rPr>
        <w:t>.评审复核</w:t>
      </w:r>
    </w:p>
    <w:p w14:paraId="78A6D64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25</w:t>
      </w:r>
      <w:r>
        <w:rPr>
          <w:rFonts w:hint="eastAsia" w:ascii="仿宋" w:hAnsi="仿宋" w:eastAsia="仿宋" w:cs="仿宋"/>
          <w:b w:val="0"/>
          <w:bCs w:val="0"/>
          <w:color w:val="auto"/>
          <w:kern w:val="0"/>
          <w:sz w:val="24"/>
          <w:highlight w:val="none"/>
        </w:rPr>
        <w:t>.1谈判小组要对评审结果进行校对、核对，对报价最低的、响应文件被认定为未实质性响应竞争性谈判文件的情形的、采用政策性因素进行价格扣除的报价等进行复核。</w:t>
      </w:r>
    </w:p>
    <w:p w14:paraId="4C62D1E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25</w:t>
      </w:r>
      <w:r>
        <w:rPr>
          <w:rFonts w:hint="eastAsia" w:ascii="仿宋" w:hAnsi="仿宋" w:eastAsia="仿宋" w:cs="仿宋"/>
          <w:b w:val="0"/>
          <w:bCs w:val="0"/>
          <w:color w:val="auto"/>
          <w:kern w:val="0"/>
          <w:sz w:val="24"/>
          <w:highlight w:val="none"/>
        </w:rPr>
        <w:t>.2复核中除资格性审查认定错误和价格计算错误外，采购人或者代理机构不得以任何理由组织重新评审。采购人、代理机构发现谈判小组未按竞争性谈判文件规定的评定成交的标准进行评审的，应当重新开展采购活动，并同时书面报告本级相关部门。</w:t>
      </w:r>
    </w:p>
    <w:p w14:paraId="102F609E">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eastAsia="zh-CN"/>
        </w:rPr>
        <w:t>26</w:t>
      </w:r>
      <w:r>
        <w:rPr>
          <w:rFonts w:hint="eastAsia" w:ascii="仿宋" w:hAnsi="仿宋" w:eastAsia="仿宋" w:cs="仿宋"/>
          <w:b/>
          <w:bCs/>
          <w:color w:val="auto"/>
          <w:kern w:val="0"/>
          <w:sz w:val="24"/>
          <w:highlight w:val="none"/>
        </w:rPr>
        <w:t>.谈判过程保密</w:t>
      </w:r>
    </w:p>
    <w:p w14:paraId="2EE996F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26</w:t>
      </w:r>
      <w:r>
        <w:rPr>
          <w:rFonts w:hint="eastAsia" w:ascii="仿宋" w:hAnsi="仿宋" w:eastAsia="仿宋" w:cs="仿宋"/>
          <w:b w:val="0"/>
          <w:bCs w:val="0"/>
          <w:color w:val="auto"/>
          <w:kern w:val="0"/>
          <w:sz w:val="24"/>
          <w:highlight w:val="none"/>
        </w:rPr>
        <w:t>.1采购人、代理机构应当采取必要措施，保证谈判在严格保密的情况下进行。除采购人代表、谈判现场组织人员、监督人员外，采购人的其他工作人员以及与谈判工作无关的人员不得进入谈判现场。</w:t>
      </w:r>
    </w:p>
    <w:p w14:paraId="05A3869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26</w:t>
      </w:r>
      <w:r>
        <w:rPr>
          <w:rFonts w:hint="eastAsia" w:ascii="仿宋" w:hAnsi="仿宋" w:eastAsia="仿宋" w:cs="仿宋"/>
          <w:b w:val="0"/>
          <w:bCs w:val="0"/>
          <w:color w:val="auto"/>
          <w:kern w:val="0"/>
          <w:sz w:val="24"/>
          <w:highlight w:val="none"/>
        </w:rPr>
        <w:t>.2谈判开始，直到授予</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合同止，凡是属于审查、澄清、评价和比较谈判的有关资料等，均不得向供应商或其他与谈判无关的人员透露。</w:t>
      </w:r>
    </w:p>
    <w:p w14:paraId="1AFD3E4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26</w:t>
      </w:r>
      <w:r>
        <w:rPr>
          <w:rFonts w:hint="eastAsia" w:ascii="仿宋" w:hAnsi="仿宋" w:eastAsia="仿宋" w:cs="仿宋"/>
          <w:b w:val="0"/>
          <w:bCs w:val="0"/>
          <w:color w:val="auto"/>
          <w:kern w:val="0"/>
          <w:sz w:val="24"/>
          <w:highlight w:val="none"/>
        </w:rPr>
        <w:t>.3在谈判期间，任何人不得透露与谈判有关的其他供应商的技术资料、价格和其他信息。</w:t>
      </w:r>
    </w:p>
    <w:p w14:paraId="5D112B14">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26</w:t>
      </w:r>
      <w:r>
        <w:rPr>
          <w:rFonts w:hint="eastAsia" w:ascii="仿宋" w:hAnsi="仿宋" w:eastAsia="仿宋" w:cs="仿宋"/>
          <w:b w:val="0"/>
          <w:bCs w:val="0"/>
          <w:color w:val="auto"/>
          <w:kern w:val="0"/>
          <w:sz w:val="24"/>
          <w:highlight w:val="none"/>
        </w:rPr>
        <w:t>.4谈判结束后，参与评审的所有人员不得带走与谈判有关的任何资料。</w:t>
      </w:r>
    </w:p>
    <w:p w14:paraId="74C05FA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26</w:t>
      </w:r>
      <w:r>
        <w:rPr>
          <w:rFonts w:hint="eastAsia" w:ascii="仿宋" w:hAnsi="仿宋" w:eastAsia="仿宋" w:cs="仿宋"/>
          <w:b w:val="0"/>
          <w:bCs w:val="0"/>
          <w:color w:val="auto"/>
          <w:kern w:val="0"/>
          <w:sz w:val="24"/>
          <w:highlight w:val="none"/>
        </w:rPr>
        <w:t>.5在谈判期间，供应商企图影响代理机构或谈判小组的任何活动，将导致报价被拒绝，并承担相应的法律责任。</w:t>
      </w:r>
    </w:p>
    <w:p w14:paraId="07532E7A">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2</w:t>
      </w:r>
      <w:r>
        <w:rPr>
          <w:rFonts w:hint="eastAsia" w:ascii="仿宋" w:hAnsi="仿宋" w:eastAsia="仿宋" w:cs="仿宋"/>
          <w:b/>
          <w:bCs/>
          <w:color w:val="auto"/>
          <w:kern w:val="0"/>
          <w:sz w:val="24"/>
          <w:highlight w:val="none"/>
          <w:lang w:val="en-US" w:eastAsia="zh-CN"/>
        </w:rPr>
        <w:t>7</w:t>
      </w:r>
      <w:r>
        <w:rPr>
          <w:rFonts w:hint="eastAsia" w:ascii="仿宋" w:hAnsi="仿宋" w:eastAsia="仿宋" w:cs="仿宋"/>
          <w:b/>
          <w:bCs/>
          <w:color w:val="auto"/>
          <w:kern w:val="0"/>
          <w:sz w:val="24"/>
          <w:highlight w:val="none"/>
        </w:rPr>
        <w:t>.关于供应商瑕疵滞后发现的处理规则</w:t>
      </w:r>
    </w:p>
    <w:p w14:paraId="76A80FA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无论基于何种原因，各项本应作拒绝或无效报价处理的情形，即便未被及时发现而使该供应商进入初审、谈判或其它后续程序的，包括已经签约的情形。一旦被发现，代理机构均有权依法采取相应的补救及纠正措施。</w:t>
      </w:r>
    </w:p>
    <w:p w14:paraId="7B86B068">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2</w:t>
      </w:r>
      <w:r>
        <w:rPr>
          <w:rFonts w:hint="eastAsia" w:ascii="仿宋" w:hAnsi="仿宋" w:eastAsia="仿宋" w:cs="仿宋"/>
          <w:b/>
          <w:bCs/>
          <w:color w:val="auto"/>
          <w:kern w:val="0"/>
          <w:sz w:val="24"/>
          <w:highlight w:val="none"/>
          <w:lang w:val="en-US" w:eastAsia="zh-CN"/>
        </w:rPr>
        <w:t>8</w:t>
      </w:r>
      <w:r>
        <w:rPr>
          <w:rFonts w:hint="eastAsia" w:ascii="仿宋" w:hAnsi="仿宋" w:eastAsia="仿宋" w:cs="仿宋"/>
          <w:b/>
          <w:bCs/>
          <w:color w:val="auto"/>
          <w:kern w:val="0"/>
          <w:sz w:val="24"/>
          <w:highlight w:val="none"/>
        </w:rPr>
        <w:t>.采购项目终止</w:t>
      </w:r>
    </w:p>
    <w:p w14:paraId="3596350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出现下列情形之一的，采购人或者采购代理机构应当终止谈判采购活动，发布项目终止公告并说明原因，重新开展采购活动：</w:t>
      </w:r>
    </w:p>
    <w:p w14:paraId="6D036CE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（一）因情况变化，不再符合规定的谈判采购方式适用情形的；</w:t>
      </w:r>
    </w:p>
    <w:p w14:paraId="48E529A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（二）出现影响采购公正的违法、违规行为的；</w:t>
      </w:r>
    </w:p>
    <w:p w14:paraId="3D27E141">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val="en-US" w:eastAsia="zh-CN"/>
        </w:rPr>
        <w:t>29</w:t>
      </w:r>
      <w:r>
        <w:rPr>
          <w:rFonts w:hint="eastAsia" w:ascii="仿宋" w:hAnsi="仿宋" w:eastAsia="仿宋" w:cs="仿宋"/>
          <w:b/>
          <w:bCs/>
          <w:color w:val="auto"/>
          <w:kern w:val="0"/>
          <w:sz w:val="24"/>
          <w:highlight w:val="none"/>
        </w:rPr>
        <w:t>.成交结果公告</w:t>
      </w:r>
    </w:p>
    <w:p w14:paraId="5D45963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29</w:t>
      </w:r>
      <w:r>
        <w:rPr>
          <w:rFonts w:hint="eastAsia" w:ascii="仿宋" w:hAnsi="仿宋" w:eastAsia="仿宋" w:cs="仿宋"/>
          <w:b w:val="0"/>
          <w:bCs w:val="0"/>
          <w:color w:val="auto"/>
          <w:kern w:val="0"/>
          <w:sz w:val="24"/>
          <w:highlight w:val="none"/>
        </w:rPr>
        <w:t>.1代理机构应当自</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确定后2个工作日内</w:t>
      </w:r>
      <w:r>
        <w:rPr>
          <w:rFonts w:hint="eastAsia" w:ascii="仿宋" w:hAnsi="仿宋" w:eastAsia="仿宋" w:cs="仿宋"/>
          <w:b w:val="0"/>
          <w:bCs w:val="0"/>
          <w:color w:val="auto"/>
          <w:kern w:val="0"/>
          <w:sz w:val="24"/>
          <w:highlight w:val="none"/>
          <w:lang w:eastAsia="zh-CN"/>
        </w:rPr>
        <w:t>，</w:t>
      </w:r>
      <w:r>
        <w:rPr>
          <w:rFonts w:hint="eastAsia" w:ascii="仿宋" w:hAnsi="仿宋" w:eastAsia="仿宋" w:cs="仿宋"/>
          <w:b w:val="0"/>
          <w:bCs w:val="0"/>
          <w:color w:val="auto"/>
          <w:kern w:val="0"/>
          <w:sz w:val="24"/>
          <w:highlight w:val="none"/>
          <w:lang w:val="en-US" w:eastAsia="zh-CN"/>
        </w:rPr>
        <w:t>在中国政府采购网山西分网</w:t>
      </w:r>
      <w:r>
        <w:rPr>
          <w:rFonts w:hint="eastAsia" w:ascii="仿宋" w:hAnsi="仿宋" w:eastAsia="仿宋" w:cs="仿宋"/>
          <w:b w:val="0"/>
          <w:bCs w:val="0"/>
          <w:color w:val="auto"/>
          <w:kern w:val="0"/>
          <w:sz w:val="24"/>
          <w:highlight w:val="none"/>
        </w:rPr>
        <w:t>公告成交结果，并将竞争性谈判文件随成交结果同时公告。</w:t>
      </w:r>
    </w:p>
    <w:p w14:paraId="778E6B15">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29</w:t>
      </w:r>
      <w:r>
        <w:rPr>
          <w:rFonts w:hint="eastAsia" w:ascii="仿宋" w:hAnsi="仿宋" w:eastAsia="仿宋" w:cs="仿宋"/>
          <w:b w:val="0"/>
          <w:bCs w:val="0"/>
          <w:color w:val="auto"/>
          <w:kern w:val="0"/>
          <w:sz w:val="24"/>
          <w:highlight w:val="none"/>
        </w:rPr>
        <w:t>.2成交结果公告应当包括：</w:t>
      </w:r>
    </w:p>
    <w:p w14:paraId="55BFC254">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（一）采购人和代理机构的名称、地址和联系方式；</w:t>
      </w:r>
    </w:p>
    <w:p w14:paraId="43F8A93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（二）项目名称、项目编号；</w:t>
      </w:r>
    </w:p>
    <w:p w14:paraId="50DFE26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（三）</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名称、地址和成交金额；</w:t>
      </w:r>
    </w:p>
    <w:p w14:paraId="3EE54027">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（四）主要成交标的名称、合同品牌、规格型号、数量、单价；</w:t>
      </w:r>
    </w:p>
    <w:p w14:paraId="39EF6B2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（五）谈判小组成员名单。</w:t>
      </w:r>
    </w:p>
    <w:p w14:paraId="1F29AF0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采用书面推荐供应商参加谈判活动的，还应当公告采购人和评审专家的推荐意见。</w:t>
      </w:r>
    </w:p>
    <w:p w14:paraId="27836794">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3</w:t>
      </w:r>
      <w:r>
        <w:rPr>
          <w:rFonts w:hint="eastAsia" w:ascii="仿宋" w:hAnsi="仿宋" w:eastAsia="仿宋" w:cs="仿宋"/>
          <w:b/>
          <w:bCs/>
          <w:color w:val="auto"/>
          <w:kern w:val="0"/>
          <w:sz w:val="24"/>
          <w:highlight w:val="none"/>
          <w:lang w:val="en-US" w:eastAsia="zh-CN"/>
        </w:rPr>
        <w:t>0</w:t>
      </w:r>
      <w:r>
        <w:rPr>
          <w:rFonts w:hint="eastAsia" w:ascii="仿宋" w:hAnsi="仿宋" w:eastAsia="仿宋" w:cs="仿宋"/>
          <w:b/>
          <w:bCs/>
          <w:color w:val="auto"/>
          <w:kern w:val="0"/>
          <w:sz w:val="24"/>
          <w:highlight w:val="none"/>
        </w:rPr>
        <w:t>.成交通知</w:t>
      </w:r>
    </w:p>
    <w:p w14:paraId="6F09AD0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30</w:t>
      </w: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eastAsia="zh-CN"/>
        </w:rPr>
        <w:t>采购</w:t>
      </w:r>
      <w:r>
        <w:rPr>
          <w:rFonts w:hint="eastAsia" w:ascii="仿宋" w:hAnsi="仿宋" w:eastAsia="仿宋" w:cs="仿宋"/>
          <w:b w:val="0"/>
          <w:bCs w:val="0"/>
          <w:color w:val="auto"/>
          <w:kern w:val="0"/>
          <w:sz w:val="24"/>
          <w:highlight w:val="none"/>
        </w:rPr>
        <w:t>代理机构应当自</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确定后2个工作日内，在公告成交结果同时，向</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发出成交通知书。</w:t>
      </w:r>
    </w:p>
    <w:p w14:paraId="1D6E1044">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30</w:t>
      </w:r>
      <w:r>
        <w:rPr>
          <w:rFonts w:hint="eastAsia" w:ascii="仿宋" w:hAnsi="仿宋" w:eastAsia="仿宋" w:cs="仿宋"/>
          <w:b w:val="0"/>
          <w:bCs w:val="0"/>
          <w:color w:val="auto"/>
          <w:kern w:val="0"/>
          <w:sz w:val="24"/>
          <w:highlight w:val="none"/>
        </w:rPr>
        <w:t>.2成交通知书对采购人和</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具有同等法律效力。</w:t>
      </w:r>
    </w:p>
    <w:p w14:paraId="3709AF8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30</w:t>
      </w:r>
      <w:r>
        <w:rPr>
          <w:rFonts w:hint="eastAsia" w:ascii="仿宋" w:hAnsi="仿宋" w:eastAsia="仿宋" w:cs="仿宋"/>
          <w:b w:val="0"/>
          <w:bCs w:val="0"/>
          <w:color w:val="auto"/>
          <w:kern w:val="0"/>
          <w:sz w:val="24"/>
          <w:highlight w:val="none"/>
        </w:rPr>
        <w:t>.3除不可抗力等因素外，成交通知书发出后，采购人改变成交结果，或者</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拒绝签订政府采购合同的，应当承担相应的法律责任。</w:t>
      </w:r>
    </w:p>
    <w:p w14:paraId="773FC3F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30</w:t>
      </w:r>
      <w:r>
        <w:rPr>
          <w:rFonts w:hint="eastAsia" w:ascii="仿宋" w:hAnsi="仿宋" w:eastAsia="仿宋" w:cs="仿宋"/>
          <w:b w:val="0"/>
          <w:bCs w:val="0"/>
          <w:color w:val="auto"/>
          <w:kern w:val="0"/>
          <w:sz w:val="24"/>
          <w:highlight w:val="none"/>
        </w:rPr>
        <w:t>.4</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拒绝签订政府采购合同的，采购人重新开展采购活动。拒绝签订政府采购合同的</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不得参加对该项目重新开展的采购活动。</w:t>
      </w:r>
    </w:p>
    <w:p w14:paraId="0C5DCD4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30</w:t>
      </w:r>
      <w:r>
        <w:rPr>
          <w:rFonts w:hint="eastAsia" w:ascii="仿宋" w:hAnsi="仿宋" w:eastAsia="仿宋" w:cs="仿宋"/>
          <w:b w:val="0"/>
          <w:bCs w:val="0"/>
          <w:color w:val="auto"/>
          <w:kern w:val="0"/>
          <w:sz w:val="24"/>
          <w:highlight w:val="none"/>
        </w:rPr>
        <w:t>.5成交通知书是合同的组成部分。</w:t>
      </w:r>
    </w:p>
    <w:p w14:paraId="54C19F08">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3</w:t>
      </w:r>
      <w:r>
        <w:rPr>
          <w:rFonts w:hint="eastAsia" w:ascii="仿宋" w:hAnsi="仿宋" w:eastAsia="仿宋" w:cs="仿宋"/>
          <w:b/>
          <w:bCs/>
          <w:color w:val="auto"/>
          <w:kern w:val="0"/>
          <w:sz w:val="24"/>
          <w:highlight w:val="none"/>
          <w:lang w:val="en-US" w:eastAsia="zh-CN"/>
        </w:rPr>
        <w:t>1</w:t>
      </w:r>
      <w:r>
        <w:rPr>
          <w:rFonts w:hint="eastAsia" w:ascii="仿宋" w:hAnsi="仿宋" w:eastAsia="仿宋" w:cs="仿宋"/>
          <w:b/>
          <w:bCs/>
          <w:color w:val="auto"/>
          <w:kern w:val="0"/>
          <w:sz w:val="24"/>
          <w:highlight w:val="none"/>
        </w:rPr>
        <w:t>.</w:t>
      </w:r>
      <w:r>
        <w:rPr>
          <w:rFonts w:hint="eastAsia" w:ascii="仿宋" w:hAnsi="仿宋" w:eastAsia="仿宋" w:cs="仿宋"/>
          <w:b/>
          <w:bCs/>
          <w:color w:val="auto"/>
          <w:kern w:val="0"/>
          <w:sz w:val="24"/>
          <w:highlight w:val="none"/>
          <w:lang w:val="en-US" w:eastAsia="zh-CN"/>
        </w:rPr>
        <w:t>代理</w:t>
      </w:r>
      <w:r>
        <w:rPr>
          <w:rFonts w:hint="eastAsia" w:ascii="仿宋" w:hAnsi="仿宋" w:eastAsia="仿宋" w:cs="仿宋"/>
          <w:b/>
          <w:bCs/>
          <w:color w:val="auto"/>
          <w:kern w:val="0"/>
          <w:sz w:val="24"/>
          <w:highlight w:val="none"/>
        </w:rPr>
        <w:t>服务费</w:t>
      </w:r>
    </w:p>
    <w:p w14:paraId="0B32A76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见供应商须知前附表</w:t>
      </w:r>
    </w:p>
    <w:p w14:paraId="3196E203">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六、签订合同</w:t>
      </w:r>
    </w:p>
    <w:p w14:paraId="4250856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2</w:t>
      </w: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应在成交通知书发出之日起</w:t>
      </w:r>
      <w:r>
        <w:rPr>
          <w:rFonts w:hint="eastAsia" w:ascii="仿宋" w:hAnsi="仿宋" w:eastAsia="仿宋" w:cs="仿宋"/>
          <w:b w:val="0"/>
          <w:bCs w:val="0"/>
          <w:color w:val="auto"/>
          <w:kern w:val="0"/>
          <w:sz w:val="24"/>
          <w:highlight w:val="none"/>
          <w:lang w:val="en-US" w:eastAsia="zh-CN"/>
        </w:rPr>
        <w:t>3</w:t>
      </w:r>
      <w:r>
        <w:rPr>
          <w:rFonts w:hint="eastAsia" w:ascii="仿宋" w:hAnsi="仿宋" w:eastAsia="仿宋" w:cs="仿宋"/>
          <w:b w:val="0"/>
          <w:bCs w:val="0"/>
          <w:color w:val="auto"/>
          <w:kern w:val="0"/>
          <w:sz w:val="24"/>
          <w:highlight w:val="none"/>
        </w:rPr>
        <w:t>0日内，按照竞争性谈判文件、响应文件、谈判过程中确定的合同文本及有关澄清、说明或者补正文件等事项与采购人在</w:t>
      </w:r>
      <w:r>
        <w:rPr>
          <w:rFonts w:hint="eastAsia" w:ascii="仿宋" w:hAnsi="仿宋" w:eastAsia="仿宋" w:cs="仿宋"/>
          <w:color w:val="auto"/>
          <w:sz w:val="24"/>
          <w:highlight w:val="none"/>
          <w:lang w:val="en-US" w:eastAsia="zh-CN"/>
        </w:rPr>
        <w:t>山西省政府采购网</w:t>
      </w:r>
      <w:r>
        <w:rPr>
          <w:rFonts w:hint="eastAsia" w:ascii="仿宋" w:hAnsi="仿宋" w:eastAsia="仿宋" w:cs="仿宋"/>
          <w:b w:val="0"/>
          <w:bCs w:val="0"/>
          <w:color w:val="auto"/>
          <w:kern w:val="0"/>
          <w:sz w:val="24"/>
          <w:highlight w:val="none"/>
        </w:rPr>
        <w:t>线上签订合同。</w:t>
      </w:r>
    </w:p>
    <w:p w14:paraId="61AA7BB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2</w:t>
      </w:r>
      <w:r>
        <w:rPr>
          <w:rFonts w:hint="eastAsia" w:ascii="仿宋" w:hAnsi="仿宋" w:eastAsia="仿宋" w:cs="仿宋"/>
          <w:b w:val="0"/>
          <w:bCs w:val="0"/>
          <w:color w:val="auto"/>
          <w:kern w:val="0"/>
          <w:sz w:val="24"/>
          <w:highlight w:val="none"/>
        </w:rPr>
        <w:t>.2采购人不得向</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提出超出竞争性谈判文件、响应文件及谈判确定的事项以外的任何要求作为签订合同的条件，不得与</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订立背离谈判过程中确定的合同文本以及采购标的、规格型号、采购金额、采购数量、技术和服务要求等实质性内容的协议。</w:t>
      </w:r>
    </w:p>
    <w:p w14:paraId="77FF78B7">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2</w:t>
      </w:r>
      <w:r>
        <w:rPr>
          <w:rFonts w:hint="eastAsia" w:ascii="仿宋" w:hAnsi="仿宋" w:eastAsia="仿宋" w:cs="仿宋"/>
          <w:b w:val="0"/>
          <w:bCs w:val="0"/>
          <w:color w:val="auto"/>
          <w:kern w:val="0"/>
          <w:sz w:val="24"/>
          <w:highlight w:val="none"/>
        </w:rPr>
        <w:t>.3在合同履行中，采购人如需追加与合同标的相同的货物，在不改变合同其他条款的前提下，成交供应商可与采购人协商签订补充合同，但所有补充合同的采购金额不得超过原合同金额的百分之十。</w:t>
      </w:r>
    </w:p>
    <w:p w14:paraId="28EEAB1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2</w:t>
      </w:r>
      <w:r>
        <w:rPr>
          <w:rFonts w:hint="eastAsia" w:ascii="仿宋" w:hAnsi="仿宋" w:eastAsia="仿宋" w:cs="仿宋"/>
          <w:b w:val="0"/>
          <w:bCs w:val="0"/>
          <w:color w:val="auto"/>
          <w:kern w:val="0"/>
          <w:sz w:val="24"/>
          <w:highlight w:val="none"/>
        </w:rPr>
        <w:t>.4成交供应商不得转包、分包，亦不得将合同全部及任何权利、义务向第三方转让，除符合《政府采购促进中小企业发展暂行办法》相关规定外，其他情形将被视为严重违约。采购人有权决定按照</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成交后毁标、终止或解除合同等依约处理。</w:t>
      </w:r>
    </w:p>
    <w:p w14:paraId="2AED1B0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2</w:t>
      </w:r>
      <w:r>
        <w:rPr>
          <w:rFonts w:hint="eastAsia" w:ascii="仿宋" w:hAnsi="仿宋" w:eastAsia="仿宋" w:cs="仿宋"/>
          <w:b w:val="0"/>
          <w:bCs w:val="0"/>
          <w:color w:val="auto"/>
          <w:kern w:val="0"/>
          <w:sz w:val="24"/>
          <w:highlight w:val="none"/>
        </w:rPr>
        <w:t>.5采购人与</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应当根据合同约定依法履行合同义务。</w:t>
      </w:r>
    </w:p>
    <w:p w14:paraId="327EFFD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2</w:t>
      </w:r>
      <w:r>
        <w:rPr>
          <w:rFonts w:hint="eastAsia" w:ascii="仿宋" w:hAnsi="仿宋" w:eastAsia="仿宋" w:cs="仿宋"/>
          <w:b w:val="0"/>
          <w:bCs w:val="0"/>
          <w:color w:val="auto"/>
          <w:kern w:val="0"/>
          <w:sz w:val="24"/>
          <w:highlight w:val="none"/>
        </w:rPr>
        <w:t>.6违反前五款规定，给对方造成损失的，应承担赔偿责任。</w:t>
      </w:r>
    </w:p>
    <w:p w14:paraId="023FBC93">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七、保密和披露</w:t>
      </w:r>
    </w:p>
    <w:p w14:paraId="745B3957">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3</w:t>
      </w:r>
      <w:r>
        <w:rPr>
          <w:rFonts w:hint="eastAsia" w:ascii="仿宋" w:hAnsi="仿宋" w:eastAsia="仿宋" w:cs="仿宋"/>
          <w:b/>
          <w:bCs/>
          <w:color w:val="auto"/>
          <w:kern w:val="0"/>
          <w:sz w:val="24"/>
          <w:highlight w:val="none"/>
          <w:lang w:val="en-US" w:eastAsia="zh-CN"/>
        </w:rPr>
        <w:t>3</w:t>
      </w:r>
      <w:r>
        <w:rPr>
          <w:rFonts w:hint="eastAsia" w:ascii="仿宋" w:hAnsi="仿宋" w:eastAsia="仿宋" w:cs="仿宋"/>
          <w:b/>
          <w:bCs/>
          <w:color w:val="auto"/>
          <w:kern w:val="0"/>
          <w:sz w:val="24"/>
          <w:highlight w:val="none"/>
        </w:rPr>
        <w:t>.保密</w:t>
      </w:r>
    </w:p>
    <w:p w14:paraId="7217F64E">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33.1</w:t>
      </w:r>
      <w:r>
        <w:rPr>
          <w:rFonts w:hint="eastAsia" w:ascii="仿宋" w:hAnsi="仿宋" w:eastAsia="仿宋" w:cs="仿宋"/>
          <w:b w:val="0"/>
          <w:bCs w:val="0"/>
          <w:color w:val="auto"/>
          <w:kern w:val="0"/>
          <w:sz w:val="24"/>
          <w:highlight w:val="none"/>
        </w:rPr>
        <w:t>供应商自领取竞争性谈判文件之日起，须承诺承担对本采购项目的保密义务，不得将因本次谈判获得的信息向第三人外传。</w:t>
      </w:r>
    </w:p>
    <w:p w14:paraId="109BCC8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val="en-US" w:eastAsia="zh-CN"/>
        </w:rPr>
        <w:t>33.2</w:t>
      </w:r>
      <w:r>
        <w:rPr>
          <w:rFonts w:hint="eastAsia" w:ascii="仿宋" w:hAnsi="仿宋" w:eastAsia="仿宋" w:cs="仿宋"/>
          <w:b w:val="0"/>
          <w:bCs w:val="0"/>
          <w:color w:val="auto"/>
          <w:kern w:val="0"/>
          <w:sz w:val="24"/>
          <w:highlight w:val="none"/>
        </w:rPr>
        <w:t>参加谈判过程的有关人员对谈判情况以及在谈判过程中获悉的国家秘密、商业秘密负有保密责任。</w:t>
      </w:r>
    </w:p>
    <w:p w14:paraId="65AF7D9A">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3</w:t>
      </w:r>
      <w:r>
        <w:rPr>
          <w:rFonts w:hint="eastAsia" w:ascii="仿宋" w:hAnsi="仿宋" w:eastAsia="仿宋" w:cs="仿宋"/>
          <w:b/>
          <w:bCs/>
          <w:color w:val="auto"/>
          <w:kern w:val="0"/>
          <w:sz w:val="24"/>
          <w:highlight w:val="none"/>
          <w:lang w:val="en-US" w:eastAsia="zh-CN"/>
        </w:rPr>
        <w:t>4</w:t>
      </w:r>
      <w:r>
        <w:rPr>
          <w:rFonts w:hint="eastAsia" w:ascii="仿宋" w:hAnsi="仿宋" w:eastAsia="仿宋" w:cs="仿宋"/>
          <w:b/>
          <w:bCs/>
          <w:color w:val="auto"/>
          <w:kern w:val="0"/>
          <w:sz w:val="24"/>
          <w:highlight w:val="none"/>
        </w:rPr>
        <w:t>.披露</w:t>
      </w:r>
    </w:p>
    <w:p w14:paraId="3CD1B39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4</w:t>
      </w:r>
      <w:r>
        <w:rPr>
          <w:rFonts w:hint="eastAsia" w:ascii="仿宋" w:hAnsi="仿宋" w:eastAsia="仿宋" w:cs="仿宋"/>
          <w:b w:val="0"/>
          <w:bCs w:val="0"/>
          <w:color w:val="auto"/>
          <w:kern w:val="0"/>
          <w:sz w:val="24"/>
          <w:highlight w:val="none"/>
        </w:rPr>
        <w:t>.1</w:t>
      </w:r>
      <w:r>
        <w:rPr>
          <w:rFonts w:hint="eastAsia" w:ascii="仿宋" w:hAnsi="仿宋" w:eastAsia="仿宋" w:cs="仿宋"/>
          <w:b w:val="0"/>
          <w:bCs w:val="0"/>
          <w:color w:val="auto"/>
          <w:kern w:val="0"/>
          <w:sz w:val="24"/>
          <w:highlight w:val="none"/>
          <w:lang w:eastAsia="zh-CN"/>
        </w:rPr>
        <w:t>采购</w:t>
      </w:r>
      <w:r>
        <w:rPr>
          <w:rFonts w:hint="eastAsia" w:ascii="仿宋" w:hAnsi="仿宋" w:eastAsia="仿宋" w:cs="仿宋"/>
          <w:b w:val="0"/>
          <w:bCs w:val="0"/>
          <w:color w:val="auto"/>
          <w:kern w:val="0"/>
          <w:sz w:val="24"/>
          <w:highlight w:val="none"/>
        </w:rPr>
        <w:t>代理机构有权将供应商提供的所有资料向有关政府部门或参加评审的有关人员披露。</w:t>
      </w:r>
    </w:p>
    <w:p w14:paraId="6DB8D78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4</w:t>
      </w:r>
      <w:r>
        <w:rPr>
          <w:rFonts w:hint="eastAsia" w:ascii="仿宋" w:hAnsi="仿宋" w:eastAsia="仿宋" w:cs="仿宋"/>
          <w:b w:val="0"/>
          <w:bCs w:val="0"/>
          <w:color w:val="auto"/>
          <w:kern w:val="0"/>
          <w:sz w:val="24"/>
          <w:highlight w:val="none"/>
        </w:rPr>
        <w:t>.2在</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认为适当时、国家机关调查、审查、审计时以及其他符合法律规定的情形下，</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无须事先征求供应商/</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同意而可以披露关于采购过程、合同文本、签署情况的资料、供应商/</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的名称及地址、响应文件的有关信息以及补充条款等，但应当在合理的必要范围内。对任何已经公布过的内容或与之内容相同的资料，以及供应商/</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已经泄露或公开的，无须再承担保密责任。</w:t>
      </w:r>
    </w:p>
    <w:p w14:paraId="7DA5681D">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八、询问和质疑</w:t>
      </w:r>
    </w:p>
    <w:p w14:paraId="5649D638">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3</w:t>
      </w:r>
      <w:r>
        <w:rPr>
          <w:rFonts w:hint="eastAsia" w:ascii="仿宋" w:hAnsi="仿宋" w:eastAsia="仿宋" w:cs="仿宋"/>
          <w:b/>
          <w:bCs/>
          <w:color w:val="auto"/>
          <w:kern w:val="0"/>
          <w:sz w:val="24"/>
          <w:highlight w:val="none"/>
          <w:lang w:val="en-US" w:eastAsia="zh-CN"/>
        </w:rPr>
        <w:t>5</w:t>
      </w:r>
      <w:r>
        <w:rPr>
          <w:rFonts w:hint="eastAsia" w:ascii="仿宋" w:hAnsi="仿宋" w:eastAsia="仿宋" w:cs="仿宋"/>
          <w:b/>
          <w:bCs/>
          <w:color w:val="auto"/>
          <w:kern w:val="0"/>
          <w:sz w:val="24"/>
          <w:highlight w:val="none"/>
        </w:rPr>
        <w:t>.询问</w:t>
      </w:r>
    </w:p>
    <w:p w14:paraId="49B4B4C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供应商对政府采购活动事项有疑问的，可以向</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提出询问，</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应当及时做出答复，但答复的内容不得涉及商业秘密。</w:t>
      </w:r>
    </w:p>
    <w:p w14:paraId="4D73489D">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3</w:t>
      </w:r>
      <w:r>
        <w:rPr>
          <w:rFonts w:hint="eastAsia" w:ascii="仿宋" w:hAnsi="仿宋" w:eastAsia="仿宋" w:cs="仿宋"/>
          <w:b/>
          <w:bCs/>
          <w:color w:val="auto"/>
          <w:kern w:val="0"/>
          <w:sz w:val="24"/>
          <w:highlight w:val="none"/>
          <w:lang w:val="en-US" w:eastAsia="zh-CN"/>
        </w:rPr>
        <w:t>6</w:t>
      </w:r>
      <w:r>
        <w:rPr>
          <w:rFonts w:hint="eastAsia" w:ascii="仿宋" w:hAnsi="仿宋" w:eastAsia="仿宋" w:cs="仿宋"/>
          <w:b/>
          <w:bCs/>
          <w:color w:val="auto"/>
          <w:kern w:val="0"/>
          <w:sz w:val="24"/>
          <w:highlight w:val="none"/>
        </w:rPr>
        <w:t>.质疑</w:t>
      </w:r>
    </w:p>
    <w:p w14:paraId="0651B12F">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.1谈判程序受《中华人民共和国政府采购法》和相关法律法规的约束，并受到严格的内部监督，以确保授予合同过程的公平公正。</w:t>
      </w:r>
    </w:p>
    <w:p w14:paraId="30B62FF4">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.2供应商对竞争性谈判文件条款或商务、技术参数有异议的，应当在谈判前通过澄清或修改程序提出。</w:t>
      </w:r>
    </w:p>
    <w:p w14:paraId="2D9B3B5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.3供应商对采购文件在法定质疑期内一次性提出针对同一采购程序环节的质疑。</w:t>
      </w:r>
    </w:p>
    <w:p w14:paraId="7CDC2B7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.4供应商认为竞争性谈判文件、采购过程、成交结果使自己的合法权益受到损害的，可以在知道或者应知其权益受到损害之日起7个工作日内，以书面形式向采购人、采购代理机构提出质疑。</w:t>
      </w:r>
    </w:p>
    <w:p w14:paraId="5BF82265">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.5潜在供应商已依法获取其可质疑的竞争性谈判文件的，可以对该文件提出质疑。对竞争性谈判文件提出质疑的，在获取竞争性谈判文件或者谈判公告期限届满之日起7个工作日内提出。</w:t>
      </w:r>
    </w:p>
    <w:p w14:paraId="55EE1DC4">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3</w:t>
      </w:r>
      <w:r>
        <w:rPr>
          <w:rFonts w:hint="eastAsia" w:ascii="仿宋" w:hAnsi="仿宋" w:eastAsia="仿宋" w:cs="仿宋"/>
          <w:b w:val="0"/>
          <w:bCs w:val="0"/>
          <w:color w:val="auto"/>
          <w:kern w:val="0"/>
          <w:sz w:val="24"/>
          <w:highlight w:val="none"/>
          <w:lang w:val="en-US" w:eastAsia="zh-CN"/>
        </w:rPr>
        <w:t>6</w:t>
      </w:r>
      <w:r>
        <w:rPr>
          <w:rFonts w:hint="eastAsia" w:ascii="仿宋" w:hAnsi="仿宋" w:eastAsia="仿宋" w:cs="仿宋"/>
          <w:b w:val="0"/>
          <w:bCs w:val="0"/>
          <w:color w:val="auto"/>
          <w:kern w:val="0"/>
          <w:sz w:val="24"/>
          <w:highlight w:val="none"/>
        </w:rPr>
        <w:t>.6质疑应当以书面形式向</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提出，经法定代表人签字并加盖公章。</w:t>
      </w:r>
    </w:p>
    <w:p w14:paraId="2E9CD737">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.7供应商提出质疑应当提交质疑函和必要的证明材料。质疑函应当包括以下主要内容：</w:t>
      </w:r>
    </w:p>
    <w:p w14:paraId="795A73F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.7.1供应商的姓名或者名称、地址、邮编、联系人及联系电话；</w:t>
      </w:r>
    </w:p>
    <w:p w14:paraId="58F9BCD5">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.7.2质疑项目名称、项目编号、</w:t>
      </w:r>
      <w:r>
        <w:rPr>
          <w:rFonts w:hint="eastAsia" w:ascii="仿宋" w:hAnsi="仿宋" w:eastAsia="仿宋" w:cs="仿宋"/>
          <w:b w:val="0"/>
          <w:bCs w:val="0"/>
          <w:color w:val="auto"/>
          <w:kern w:val="0"/>
          <w:sz w:val="24"/>
          <w:highlight w:val="none"/>
          <w:lang w:val="en-US" w:eastAsia="zh-CN"/>
        </w:rPr>
        <w:t>采购编号</w:t>
      </w:r>
      <w:r>
        <w:rPr>
          <w:rFonts w:hint="eastAsia" w:ascii="仿宋" w:hAnsi="仿宋" w:eastAsia="仿宋" w:cs="仿宋"/>
          <w:b w:val="0"/>
          <w:bCs w:val="0"/>
          <w:color w:val="auto"/>
          <w:kern w:val="0"/>
          <w:sz w:val="24"/>
          <w:highlight w:val="none"/>
        </w:rPr>
        <w:t>、包号；</w:t>
      </w:r>
    </w:p>
    <w:p w14:paraId="6FE5207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.7.3具体、明确的质疑事项和与质疑事项相关的请求；</w:t>
      </w:r>
    </w:p>
    <w:p w14:paraId="0D927D8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.7.4事实依据；</w:t>
      </w:r>
    </w:p>
    <w:p w14:paraId="67CD0847">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.7.5必要的法律依据；</w:t>
      </w:r>
    </w:p>
    <w:p w14:paraId="4C6E62D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.7.6提出质疑的日期。</w:t>
      </w:r>
    </w:p>
    <w:p w14:paraId="242AB40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供应商为自然人的，应当由本人签字；供应商为法人或者其他组织的，应当由法定代表人、主要负责人或者其授权代表签字或者盖章，并加盖公章。</w:t>
      </w:r>
    </w:p>
    <w:p w14:paraId="68156AD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.8 质疑应按照“谁主张、谁举证”的原则，质疑书应当附相关证明材料。质疑材料应为简体中文，一式二份。</w:t>
      </w:r>
    </w:p>
    <w:p w14:paraId="4EBBF12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.9有下列情形之一的，属于无效质疑，</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可不予受理：</w:t>
      </w:r>
    </w:p>
    <w:p w14:paraId="151BC99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.9.1未在有效期限内提出质疑的；</w:t>
      </w:r>
    </w:p>
    <w:p w14:paraId="1D76932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.9.2质疑未以书面形式提出的；</w:t>
      </w:r>
    </w:p>
    <w:p w14:paraId="2110611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.9.3所提交材料未明示属于质疑材料的；</w:t>
      </w:r>
    </w:p>
    <w:p w14:paraId="33012884">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.9.4质疑书没有法定代表人签章并加盖单位公章的；质疑书由参加采购项目的授权代表签署本人姓名或印盖本人姓名章，但没有法定代表人特别授权的；</w:t>
      </w:r>
    </w:p>
    <w:p w14:paraId="5BF3627B">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.9.5质疑书未提供有效联系人或联系方式的；</w:t>
      </w:r>
    </w:p>
    <w:p w14:paraId="59BEAD8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.9.6质疑事项已经进入投诉或者行政复议或者诉讼程序的；</w:t>
      </w:r>
    </w:p>
    <w:p w14:paraId="4FC87CC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.9.7质疑书未附相关证明材料，被视为无有效证据支持的；</w:t>
      </w:r>
    </w:p>
    <w:p w14:paraId="2DA4E005">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.9.8供应商对竞争性谈判文件条款或技术参数有异议，未在谈判前通过澄清或修改程序提出，并且供应商已经参与谈判，而于谈判后对竞争性谈判文件提出质疑的；</w:t>
      </w:r>
    </w:p>
    <w:p w14:paraId="543224E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.9.9在提出本次质疑前半年内连续三次质疑而无事实依据的；</w:t>
      </w:r>
    </w:p>
    <w:p w14:paraId="6828A39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.9.10其它不符合受理条件的情形。</w:t>
      </w:r>
    </w:p>
    <w:p w14:paraId="5D5AE912">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.10 采购人、</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不得拒收质疑供应商在法定质疑期内发出的质疑函，应当在收到质疑函后7个工作日内做出答复，并以书面形式通知质疑供应商和其他有关供应商。</w:t>
      </w:r>
    </w:p>
    <w:p w14:paraId="1934A75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.11供应商对评审过程、中标结果提出质疑的，采购人、采购代理机构可以组织原谈判小组成员协助答复质疑。</w:t>
      </w:r>
    </w:p>
    <w:p w14:paraId="4A3F95C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.12质疑答复应当包含以下内容：</w:t>
      </w:r>
    </w:p>
    <w:p w14:paraId="36E7304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质疑供应商的姓名或者名称；收到质疑函的日期、质疑项目名称、项目编号及</w:t>
      </w:r>
      <w:r>
        <w:rPr>
          <w:rFonts w:hint="eastAsia" w:ascii="仿宋" w:hAnsi="仿宋" w:eastAsia="仿宋" w:cs="仿宋"/>
          <w:b w:val="0"/>
          <w:bCs w:val="0"/>
          <w:color w:val="auto"/>
          <w:kern w:val="0"/>
          <w:sz w:val="24"/>
          <w:highlight w:val="none"/>
          <w:lang w:val="en-US" w:eastAsia="zh-CN"/>
        </w:rPr>
        <w:t>采购编号</w:t>
      </w:r>
      <w:r>
        <w:rPr>
          <w:rFonts w:hint="eastAsia" w:ascii="仿宋" w:hAnsi="仿宋" w:eastAsia="仿宋" w:cs="仿宋"/>
          <w:b w:val="0"/>
          <w:bCs w:val="0"/>
          <w:color w:val="auto"/>
          <w:kern w:val="0"/>
          <w:sz w:val="24"/>
          <w:highlight w:val="none"/>
        </w:rPr>
        <w:t>；质疑事项、质疑答复的具体内容、事实依据和法律依据；告知质疑供应商依法投诉的权利；质疑答复人名称；答复质疑的日期。质疑答复的内容不得涉及商业秘密。</w:t>
      </w:r>
    </w:p>
    <w:p w14:paraId="2410DAD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.13采购人、采购代理机构认为供应商质疑不成立，或者成立但未对成交结果构成影响的，继续开展采购活动；认为供应商质疑成立且影响或者可能影响成交结果的，按照下列情况处理：</w:t>
      </w:r>
    </w:p>
    <w:p w14:paraId="56D07C60">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.13.1对竞争性谈判文件提出的质疑，依法通过澄清或者修改可以继续开展谈判活动；否则应当修改竞争性谈判文件后重新开展活动。</w:t>
      </w:r>
    </w:p>
    <w:p w14:paraId="4C1E0C1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.13.2对谈判过程、成交结果提出的质疑，合格供应商符合法定数量时，可以从合格的成交候选人中另行确定</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的，应当依法另行确定</w:t>
      </w:r>
      <w:r>
        <w:rPr>
          <w:rFonts w:hint="eastAsia" w:ascii="仿宋" w:hAnsi="仿宋" w:eastAsia="仿宋" w:cs="仿宋"/>
          <w:b w:val="0"/>
          <w:bCs w:val="0"/>
          <w:color w:val="auto"/>
          <w:kern w:val="0"/>
          <w:sz w:val="24"/>
          <w:highlight w:val="none"/>
          <w:lang w:eastAsia="zh-CN"/>
        </w:rPr>
        <w:t>成交供应商</w:t>
      </w:r>
      <w:r>
        <w:rPr>
          <w:rFonts w:hint="eastAsia" w:ascii="仿宋" w:hAnsi="仿宋" w:eastAsia="仿宋" w:cs="仿宋"/>
          <w:b w:val="0"/>
          <w:bCs w:val="0"/>
          <w:color w:val="auto"/>
          <w:kern w:val="0"/>
          <w:sz w:val="24"/>
          <w:highlight w:val="none"/>
        </w:rPr>
        <w:t>；否则应当重新开展采购活动。</w:t>
      </w:r>
    </w:p>
    <w:p w14:paraId="74189F8D">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质疑答复导致成交结果改变的，采购或者采购代理机构应当将有关情况书面报告</w:t>
      </w:r>
      <w:r>
        <w:rPr>
          <w:rFonts w:hint="eastAsia" w:ascii="仿宋" w:hAnsi="仿宋" w:eastAsia="仿宋" w:cs="仿宋"/>
          <w:b w:val="0"/>
          <w:bCs w:val="0"/>
          <w:color w:val="auto"/>
          <w:kern w:val="0"/>
          <w:sz w:val="24"/>
          <w:highlight w:val="none"/>
          <w:lang w:eastAsia="zh-CN"/>
        </w:rPr>
        <w:t>本级</w:t>
      </w:r>
      <w:r>
        <w:rPr>
          <w:rFonts w:hint="eastAsia" w:ascii="仿宋" w:hAnsi="仿宋" w:eastAsia="仿宋" w:cs="仿宋"/>
          <w:b w:val="0"/>
          <w:bCs w:val="0"/>
          <w:color w:val="auto"/>
          <w:kern w:val="0"/>
          <w:sz w:val="24"/>
          <w:highlight w:val="none"/>
        </w:rPr>
        <w:t>相关部门。</w:t>
      </w:r>
    </w:p>
    <w:p w14:paraId="727448C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36</w:t>
      </w:r>
      <w:r>
        <w:rPr>
          <w:rFonts w:hint="eastAsia" w:ascii="仿宋" w:hAnsi="仿宋" w:eastAsia="仿宋" w:cs="仿宋"/>
          <w:b w:val="0"/>
          <w:bCs w:val="0"/>
          <w:color w:val="auto"/>
          <w:kern w:val="0"/>
          <w:sz w:val="24"/>
          <w:highlight w:val="none"/>
        </w:rPr>
        <w:t>.14质疑供应商对采购人、</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的答复不满意，或者</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未在规定的时间内做出答复的，可以在答复期满后15个工作日内向相关部门投诉。</w:t>
      </w:r>
    </w:p>
    <w:p w14:paraId="241AED9E">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九、违规处罚</w:t>
      </w:r>
    </w:p>
    <w:p w14:paraId="207EB2BA">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eastAsia="zh-CN"/>
        </w:rPr>
        <w:t>37</w:t>
      </w:r>
      <w:r>
        <w:rPr>
          <w:rFonts w:hint="eastAsia" w:ascii="仿宋" w:hAnsi="仿宋" w:eastAsia="仿宋" w:cs="仿宋"/>
          <w:b/>
          <w:bCs/>
          <w:color w:val="auto"/>
          <w:kern w:val="0"/>
          <w:sz w:val="24"/>
          <w:highlight w:val="none"/>
        </w:rPr>
        <w:t>.供应商有下列情形之一的，成交无效，供应商的谈判保证金将被没收，并可能被列入不良记录名单，同时</w:t>
      </w:r>
      <w:r>
        <w:rPr>
          <w:rFonts w:hint="eastAsia" w:ascii="仿宋" w:hAnsi="仿宋" w:eastAsia="仿宋" w:cs="仿宋"/>
          <w:b/>
          <w:bCs/>
          <w:color w:val="auto"/>
          <w:kern w:val="0"/>
          <w:sz w:val="24"/>
          <w:highlight w:val="none"/>
          <w:lang w:eastAsia="zh-CN"/>
        </w:rPr>
        <w:t>采购代理机构</w:t>
      </w:r>
      <w:r>
        <w:rPr>
          <w:rFonts w:hint="eastAsia" w:ascii="仿宋" w:hAnsi="仿宋" w:eastAsia="仿宋" w:cs="仿宋"/>
          <w:b/>
          <w:bCs/>
          <w:color w:val="auto"/>
          <w:kern w:val="0"/>
          <w:sz w:val="24"/>
          <w:highlight w:val="none"/>
        </w:rPr>
        <w:t>将提请相关部门，依据政府采购法律法规的规定作出处理。</w:t>
      </w:r>
    </w:p>
    <w:p w14:paraId="35A36C0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.1提供虚假材料谋取成交的；</w:t>
      </w:r>
    </w:p>
    <w:p w14:paraId="7A56352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.2采取不正当手段诋毁、排挤其他供应商的；</w:t>
      </w:r>
    </w:p>
    <w:p w14:paraId="31E5C2F4">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.3与采购人、其他供应商恶意串通的；</w:t>
      </w:r>
    </w:p>
    <w:p w14:paraId="43359746">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.4公开报价后供应商撤回其报价的；</w:t>
      </w:r>
    </w:p>
    <w:p w14:paraId="6125AAA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.5在谈判期间，影响</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或谈判小组的任何活动的；</w:t>
      </w:r>
    </w:p>
    <w:p w14:paraId="48B0A1E1">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.6成交后未按竞争性谈判文件要求签约或与采购人订立背离合同实质性内容的其它协议的；</w:t>
      </w:r>
    </w:p>
    <w:p w14:paraId="4AC72C3C">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.7供应商未按竞争性谈判文件规定和合同约定履行义务的。</w:t>
      </w:r>
    </w:p>
    <w:p w14:paraId="0C8F8D58">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.8法律法规规定的其它事项。</w:t>
      </w:r>
    </w:p>
    <w:p w14:paraId="2C0BD9FA">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lang w:eastAsia="zh-CN"/>
        </w:rPr>
        <w:t>37</w:t>
      </w:r>
      <w:r>
        <w:rPr>
          <w:rFonts w:hint="eastAsia" w:ascii="仿宋" w:hAnsi="仿宋" w:eastAsia="仿宋" w:cs="仿宋"/>
          <w:b w:val="0"/>
          <w:bCs w:val="0"/>
          <w:color w:val="auto"/>
          <w:kern w:val="0"/>
          <w:sz w:val="24"/>
          <w:highlight w:val="none"/>
        </w:rPr>
        <w:t>.9采购人、</w:t>
      </w:r>
      <w:r>
        <w:rPr>
          <w:rFonts w:hint="eastAsia" w:ascii="仿宋" w:hAnsi="仿宋" w:eastAsia="仿宋" w:cs="仿宋"/>
          <w:b w:val="0"/>
          <w:bCs w:val="0"/>
          <w:color w:val="auto"/>
          <w:kern w:val="0"/>
          <w:sz w:val="24"/>
          <w:highlight w:val="none"/>
          <w:lang w:eastAsia="zh-CN"/>
        </w:rPr>
        <w:t>采购代理机构</w:t>
      </w:r>
      <w:r>
        <w:rPr>
          <w:rFonts w:hint="eastAsia" w:ascii="仿宋" w:hAnsi="仿宋" w:eastAsia="仿宋" w:cs="仿宋"/>
          <w:b w:val="0"/>
          <w:bCs w:val="0"/>
          <w:color w:val="auto"/>
          <w:kern w:val="0"/>
          <w:sz w:val="24"/>
          <w:highlight w:val="none"/>
        </w:rPr>
        <w:t>和</w:t>
      </w:r>
      <w:r>
        <w:rPr>
          <w:rFonts w:hint="eastAsia" w:ascii="仿宋" w:hAnsi="仿宋" w:eastAsia="仿宋" w:cs="仿宋"/>
          <w:b w:val="0"/>
          <w:bCs w:val="0"/>
          <w:color w:val="auto"/>
          <w:kern w:val="0"/>
          <w:sz w:val="24"/>
          <w:highlight w:val="none"/>
          <w:lang w:eastAsia="zh-CN"/>
        </w:rPr>
        <w:t>谈判小组</w:t>
      </w:r>
      <w:r>
        <w:rPr>
          <w:rFonts w:hint="eastAsia" w:ascii="仿宋" w:hAnsi="仿宋" w:eastAsia="仿宋" w:cs="仿宋"/>
          <w:b w:val="0"/>
          <w:bCs w:val="0"/>
          <w:color w:val="auto"/>
          <w:kern w:val="0"/>
          <w:sz w:val="24"/>
          <w:highlight w:val="none"/>
        </w:rPr>
        <w:t>有《政府采购非招标采购方式管理办法》规定的违法行为情形的，按相关规定执行。</w:t>
      </w:r>
    </w:p>
    <w:p w14:paraId="7BB0F1BD">
      <w:pPr>
        <w:tabs>
          <w:tab w:val="left" w:pos="567"/>
        </w:tabs>
        <w:snapToGrid w:val="0"/>
        <w:spacing w:line="360" w:lineRule="auto"/>
        <w:ind w:firstLine="482" w:firstLineChars="200"/>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十、政策性要求评审内容及标准</w:t>
      </w:r>
    </w:p>
    <w:p w14:paraId="78BD7E89">
      <w:pPr>
        <w:tabs>
          <w:tab w:val="left" w:pos="567"/>
        </w:tabs>
        <w:snapToGrid w:val="0"/>
        <w:spacing w:line="360" w:lineRule="auto"/>
        <w:ind w:firstLine="480" w:firstLineChars="200"/>
        <w:rPr>
          <w:rFonts w:hint="eastAsia" w:ascii="仿宋" w:hAnsi="仿宋" w:eastAsia="仿宋" w:cs="仿宋"/>
          <w:b w:val="0"/>
          <w:bCs w:val="0"/>
          <w:color w:val="auto"/>
          <w:kern w:val="0"/>
          <w:sz w:val="24"/>
          <w:highlight w:val="none"/>
        </w:rPr>
      </w:pPr>
      <w:r>
        <w:rPr>
          <w:rFonts w:hint="eastAsia" w:ascii="仿宋" w:hAnsi="仿宋" w:eastAsia="仿宋" w:cs="仿宋"/>
          <w:b w:val="0"/>
          <w:bCs w:val="0"/>
          <w:color w:val="auto"/>
          <w:kern w:val="0"/>
          <w:sz w:val="24"/>
          <w:highlight w:val="none"/>
        </w:rPr>
        <w:t>相关政策要求详见</w:t>
      </w:r>
      <w:r>
        <w:rPr>
          <w:rFonts w:hint="eastAsia" w:ascii="仿宋" w:hAnsi="仿宋" w:eastAsia="仿宋" w:cs="仿宋"/>
          <w:b w:val="0"/>
          <w:bCs w:val="0"/>
          <w:color w:val="auto"/>
          <w:kern w:val="0"/>
          <w:sz w:val="24"/>
          <w:highlight w:val="none"/>
          <w:lang w:eastAsia="zh-CN"/>
        </w:rPr>
        <w:t>供应商</w:t>
      </w:r>
      <w:r>
        <w:rPr>
          <w:rFonts w:hint="eastAsia" w:ascii="仿宋" w:hAnsi="仿宋" w:eastAsia="仿宋" w:cs="仿宋"/>
          <w:b w:val="0"/>
          <w:bCs w:val="0"/>
          <w:color w:val="auto"/>
          <w:kern w:val="0"/>
          <w:sz w:val="24"/>
          <w:highlight w:val="none"/>
        </w:rPr>
        <w:t>须知前附表。</w:t>
      </w:r>
    </w:p>
    <w:p w14:paraId="54F14637">
      <w:pPr>
        <w:pStyle w:val="2"/>
        <w:bidi w:val="0"/>
        <w:rPr>
          <w:rFonts w:hint="eastAsia" w:ascii="仿宋" w:hAnsi="仿宋" w:eastAsia="仿宋" w:cs="仿宋"/>
          <w:b w:val="0"/>
          <w:color w:val="auto"/>
          <w:kern w:val="0"/>
          <w:sz w:val="24"/>
          <w:highlight w:val="none"/>
        </w:rPr>
      </w:pPr>
      <w:r>
        <w:rPr>
          <w:rFonts w:hint="eastAsia" w:ascii="仿宋" w:hAnsi="仿宋" w:eastAsia="仿宋" w:cs="仿宋"/>
          <w:b w:val="0"/>
          <w:bCs w:val="0"/>
          <w:color w:val="auto"/>
          <w:spacing w:val="10"/>
          <w:kern w:val="0"/>
          <w:sz w:val="32"/>
          <w:szCs w:val="32"/>
          <w:highlight w:val="none"/>
        </w:rPr>
        <w:br w:type="page"/>
      </w:r>
      <w:bookmarkStart w:id="41" w:name="_Toc18195"/>
      <w:r>
        <w:rPr>
          <w:rFonts w:hint="eastAsia" w:ascii="仿宋" w:hAnsi="仿宋" w:eastAsia="仿宋" w:cs="仿宋"/>
          <w:b/>
          <w:color w:val="auto"/>
          <w:kern w:val="2"/>
          <w:sz w:val="24"/>
          <w:szCs w:val="24"/>
          <w:highlight w:val="none"/>
          <w:lang w:val="en-US" w:eastAsia="zh-CN" w:bidi="ar-SA"/>
        </w:rPr>
        <w:t>第四部分  评审标准和方法</w:t>
      </w:r>
      <w:bookmarkEnd w:id="41"/>
    </w:p>
    <w:p w14:paraId="3F95D6FC">
      <w:pPr>
        <w:widowControl/>
        <w:snapToGrid w:val="0"/>
        <w:spacing w:line="360" w:lineRule="auto"/>
        <w:ind w:firstLine="482" w:firstLineChars="200"/>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一、资格审查内容及标准</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3262"/>
        <w:gridCol w:w="5213"/>
      </w:tblGrid>
      <w:tr w14:paraId="113F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163CC4C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262" w:type="dxa"/>
            <w:noWrap w:val="0"/>
            <w:vAlign w:val="center"/>
          </w:tcPr>
          <w:p w14:paraId="73E0DFD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内容</w:t>
            </w:r>
          </w:p>
        </w:tc>
        <w:tc>
          <w:tcPr>
            <w:tcW w:w="5213" w:type="dxa"/>
            <w:noWrap w:val="0"/>
            <w:vAlign w:val="center"/>
          </w:tcPr>
          <w:p w14:paraId="28201C2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标准</w:t>
            </w:r>
          </w:p>
        </w:tc>
      </w:tr>
      <w:tr w14:paraId="6108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0C18DC6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262" w:type="dxa"/>
            <w:noWrap w:val="0"/>
            <w:vAlign w:val="center"/>
          </w:tcPr>
          <w:p w14:paraId="25A9DD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具有独立承担民事责任的能力</w:t>
            </w:r>
          </w:p>
        </w:tc>
        <w:tc>
          <w:tcPr>
            <w:tcW w:w="5213" w:type="dxa"/>
            <w:noWrap w:val="0"/>
            <w:vAlign w:val="center"/>
          </w:tcPr>
          <w:p w14:paraId="0979C7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提供供应商信用承诺书。</w:t>
            </w:r>
          </w:p>
          <w:p w14:paraId="603C0C2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以上证明材料须符合要求、有效、完整。否则，响应无效。</w:t>
            </w:r>
          </w:p>
        </w:tc>
      </w:tr>
      <w:tr w14:paraId="5038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34AD825C">
            <w:pPr>
              <w:spacing w:line="360" w:lineRule="auto"/>
              <w:ind w:firstLine="120" w:firstLineChars="5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262" w:type="dxa"/>
            <w:noWrap w:val="0"/>
            <w:vAlign w:val="center"/>
          </w:tcPr>
          <w:p w14:paraId="3C3A7D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具有良好的商业信誉和健全的财务会计制度</w:t>
            </w:r>
          </w:p>
        </w:tc>
        <w:tc>
          <w:tcPr>
            <w:tcW w:w="5213" w:type="dxa"/>
            <w:noWrap w:val="0"/>
            <w:vAlign w:val="center"/>
          </w:tcPr>
          <w:p w14:paraId="59613C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提供供应商信用承诺书。</w:t>
            </w:r>
          </w:p>
          <w:p w14:paraId="1264DCE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以上证明材料须符合要求、有效、完整。否则，响应无效。</w:t>
            </w:r>
          </w:p>
        </w:tc>
      </w:tr>
      <w:tr w14:paraId="4718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2856F79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262" w:type="dxa"/>
            <w:noWrap w:val="0"/>
            <w:vAlign w:val="center"/>
          </w:tcPr>
          <w:p w14:paraId="1772BC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具有履行合同所必需的设备和专业技术能力</w:t>
            </w:r>
          </w:p>
        </w:tc>
        <w:tc>
          <w:tcPr>
            <w:tcW w:w="5213" w:type="dxa"/>
            <w:noWrap w:val="0"/>
            <w:vAlign w:val="center"/>
          </w:tcPr>
          <w:p w14:paraId="6D7019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提供供应商信用承诺书。</w:t>
            </w:r>
          </w:p>
          <w:p w14:paraId="456DEE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以上证明材料须符合要求、有效、完整。否则，响应无效。</w:t>
            </w:r>
          </w:p>
        </w:tc>
      </w:tr>
      <w:tr w14:paraId="236C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6F216DB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262" w:type="dxa"/>
            <w:noWrap w:val="0"/>
            <w:vAlign w:val="center"/>
          </w:tcPr>
          <w:p w14:paraId="3AAE07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有依法缴纳税收和社会保障资金的良好记录</w:t>
            </w:r>
          </w:p>
        </w:tc>
        <w:tc>
          <w:tcPr>
            <w:tcW w:w="5213" w:type="dxa"/>
            <w:noWrap w:val="0"/>
            <w:vAlign w:val="center"/>
          </w:tcPr>
          <w:p w14:paraId="3112908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提供供应商信用承诺书。</w:t>
            </w:r>
          </w:p>
          <w:p w14:paraId="228C87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以上证明材料须符合要求、有效、完整。否则，响应无效。</w:t>
            </w:r>
          </w:p>
        </w:tc>
      </w:tr>
      <w:tr w14:paraId="0E01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097658EA">
            <w:pPr>
              <w:spacing w:line="360" w:lineRule="auto"/>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5</w:t>
            </w:r>
          </w:p>
        </w:tc>
        <w:tc>
          <w:tcPr>
            <w:tcW w:w="3262" w:type="dxa"/>
            <w:noWrap w:val="0"/>
            <w:vAlign w:val="center"/>
          </w:tcPr>
          <w:p w14:paraId="132124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参加政府采购活动前三年内，在经营活动中没有重大违法记录</w:t>
            </w:r>
          </w:p>
        </w:tc>
        <w:tc>
          <w:tcPr>
            <w:tcW w:w="5213" w:type="dxa"/>
            <w:noWrap w:val="0"/>
            <w:vAlign w:val="center"/>
          </w:tcPr>
          <w:p w14:paraId="15F755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提供供应商信用承诺书。</w:t>
            </w:r>
          </w:p>
          <w:p w14:paraId="65BE6C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以上证明材料须符合要求、有效、完整。否则，响应无效。</w:t>
            </w:r>
          </w:p>
        </w:tc>
      </w:tr>
      <w:tr w14:paraId="0CB1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noWrap w:val="0"/>
            <w:vAlign w:val="center"/>
          </w:tcPr>
          <w:p w14:paraId="705CB256">
            <w:pP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6</w:t>
            </w:r>
          </w:p>
        </w:tc>
        <w:tc>
          <w:tcPr>
            <w:tcW w:w="3262" w:type="dxa"/>
            <w:noWrap w:val="0"/>
            <w:vAlign w:val="center"/>
          </w:tcPr>
          <w:p w14:paraId="338F0E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单位负责人为同一人或者存在直接控股、管理关系的不同</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，不得参加同一合同项下的政府采购活动</w:t>
            </w:r>
          </w:p>
        </w:tc>
        <w:tc>
          <w:tcPr>
            <w:tcW w:w="5213" w:type="dxa"/>
            <w:noWrap w:val="0"/>
            <w:vAlign w:val="center"/>
          </w:tcPr>
          <w:p w14:paraId="77DF1FA4">
            <w:pPr>
              <w:snapToGrid w:val="0"/>
              <w:spacing w:line="360" w:lineRule="auto"/>
              <w:jc w:val="left"/>
              <w:textAlignment w:val="baseline"/>
              <w:rPr>
                <w:rFonts w:hint="eastAsia" w:ascii="仿宋" w:hAnsi="仿宋" w:eastAsia="仿宋" w:cs="仿宋"/>
                <w:kern w:val="0"/>
                <w:sz w:val="24"/>
                <w:highlight w:val="none"/>
              </w:rPr>
            </w:pPr>
            <w:r>
              <w:rPr>
                <w:rFonts w:hint="eastAsia" w:ascii="仿宋" w:hAnsi="仿宋" w:eastAsia="仿宋" w:cs="仿宋"/>
                <w:kern w:val="0"/>
                <w:sz w:val="24"/>
                <w:highlight w:val="none"/>
              </w:rPr>
              <w:t>提供</w:t>
            </w:r>
            <w:r>
              <w:rPr>
                <w:rFonts w:hint="eastAsia" w:ascii="仿宋" w:hAnsi="仿宋" w:eastAsia="仿宋" w:cs="仿宋"/>
                <w:kern w:val="0"/>
                <w:sz w:val="24"/>
                <w:highlight w:val="none"/>
                <w:lang w:eastAsia="zh-CN"/>
              </w:rPr>
              <w:t>供应商</w:t>
            </w:r>
            <w:r>
              <w:rPr>
                <w:rFonts w:hint="eastAsia" w:ascii="仿宋" w:hAnsi="仿宋" w:eastAsia="仿宋" w:cs="仿宋"/>
                <w:kern w:val="0"/>
                <w:sz w:val="24"/>
                <w:highlight w:val="none"/>
              </w:rPr>
              <w:t>信用承诺书。</w:t>
            </w:r>
          </w:p>
          <w:p w14:paraId="66CF10BB">
            <w:pPr>
              <w:snapToGrid w:val="0"/>
              <w:spacing w:line="360" w:lineRule="auto"/>
              <w:jc w:val="left"/>
              <w:textAlignment w:val="baseline"/>
              <w:rPr>
                <w:rFonts w:hint="eastAsia" w:ascii="仿宋" w:hAnsi="仿宋" w:eastAsia="仿宋" w:cs="仿宋"/>
                <w:color w:val="auto"/>
                <w:sz w:val="24"/>
                <w:highlight w:val="none"/>
              </w:rPr>
            </w:pPr>
            <w:r>
              <w:rPr>
                <w:rFonts w:hint="eastAsia" w:ascii="仿宋" w:hAnsi="仿宋" w:eastAsia="仿宋" w:cs="仿宋"/>
                <w:kern w:val="0"/>
                <w:sz w:val="24"/>
                <w:highlight w:val="none"/>
              </w:rPr>
              <w:t>以上证明材料须符合要求、有效、完整。</w:t>
            </w:r>
            <w:r>
              <w:rPr>
                <w:rFonts w:hint="eastAsia" w:ascii="仿宋" w:hAnsi="仿宋" w:eastAsia="仿宋" w:cs="仿宋"/>
                <w:kern w:val="0"/>
                <w:sz w:val="24"/>
                <w:highlight w:val="none"/>
                <w:lang w:eastAsia="en-US"/>
              </w:rPr>
              <w:t>否则，响应无效。</w:t>
            </w:r>
          </w:p>
        </w:tc>
      </w:tr>
      <w:tr w14:paraId="6F81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32" w:type="dxa"/>
            <w:noWrap w:val="0"/>
            <w:vAlign w:val="center"/>
          </w:tcPr>
          <w:p w14:paraId="1F0337C1">
            <w:pPr>
              <w:tabs>
                <w:tab w:val="left" w:pos="540"/>
              </w:tabs>
              <w:spacing w:line="360" w:lineRule="auto"/>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w:t>
            </w:r>
          </w:p>
        </w:tc>
        <w:tc>
          <w:tcPr>
            <w:tcW w:w="3262" w:type="dxa"/>
            <w:noWrap w:val="0"/>
            <w:vAlign w:val="center"/>
          </w:tcPr>
          <w:p w14:paraId="7CDCAA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廉洁自律承诺函</w:t>
            </w:r>
          </w:p>
        </w:tc>
        <w:tc>
          <w:tcPr>
            <w:tcW w:w="5213" w:type="dxa"/>
            <w:noWrap w:val="0"/>
            <w:vAlign w:val="center"/>
          </w:tcPr>
          <w:p w14:paraId="53967AB2">
            <w:pPr>
              <w:snapToGrid w:val="0"/>
              <w:spacing w:line="360" w:lineRule="auto"/>
              <w:jc w:val="left"/>
              <w:textAlignment w:val="baseline"/>
              <w:rPr>
                <w:rFonts w:hint="eastAsia" w:ascii="仿宋" w:hAnsi="仿宋" w:eastAsia="仿宋" w:cs="仿宋"/>
                <w:kern w:val="0"/>
                <w:sz w:val="24"/>
                <w:highlight w:val="none"/>
              </w:rPr>
            </w:pPr>
            <w:r>
              <w:rPr>
                <w:rFonts w:hint="eastAsia" w:ascii="仿宋" w:hAnsi="仿宋" w:eastAsia="仿宋" w:cs="仿宋"/>
                <w:kern w:val="0"/>
                <w:sz w:val="24"/>
                <w:highlight w:val="none"/>
              </w:rPr>
              <w:t>提供</w:t>
            </w:r>
            <w:r>
              <w:rPr>
                <w:rFonts w:hint="eastAsia" w:ascii="仿宋" w:hAnsi="仿宋" w:eastAsia="仿宋" w:cs="仿宋"/>
                <w:kern w:val="0"/>
                <w:sz w:val="24"/>
                <w:highlight w:val="none"/>
                <w:lang w:eastAsia="zh-CN"/>
              </w:rPr>
              <w:t>供应商</w:t>
            </w:r>
            <w:r>
              <w:rPr>
                <w:rFonts w:hint="eastAsia" w:ascii="仿宋" w:hAnsi="仿宋" w:eastAsia="仿宋" w:cs="仿宋"/>
                <w:kern w:val="0"/>
                <w:sz w:val="24"/>
                <w:highlight w:val="none"/>
              </w:rPr>
              <w:t>信用承诺书。</w:t>
            </w:r>
          </w:p>
          <w:p w14:paraId="16FB9C0E">
            <w:pPr>
              <w:snapToGrid w:val="0"/>
              <w:spacing w:line="360" w:lineRule="auto"/>
              <w:jc w:val="left"/>
              <w:textAlignment w:val="baseline"/>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rPr>
              <w:t>以上证明材料须符合要求、有效、完整。</w:t>
            </w:r>
            <w:r>
              <w:rPr>
                <w:rFonts w:hint="eastAsia" w:ascii="仿宋" w:hAnsi="仿宋" w:eastAsia="仿宋" w:cs="仿宋"/>
                <w:kern w:val="0"/>
                <w:sz w:val="24"/>
                <w:highlight w:val="none"/>
                <w:lang w:eastAsia="en-US"/>
              </w:rPr>
              <w:t>否则，响应无效。</w:t>
            </w:r>
          </w:p>
        </w:tc>
      </w:tr>
      <w:tr w14:paraId="3E64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32" w:type="dxa"/>
            <w:noWrap w:val="0"/>
            <w:vAlign w:val="center"/>
          </w:tcPr>
          <w:p w14:paraId="7B89CAC8">
            <w:pPr>
              <w:tabs>
                <w:tab w:val="left" w:pos="540"/>
              </w:tabs>
              <w:spacing w:line="360" w:lineRule="auto"/>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w:t>
            </w:r>
          </w:p>
        </w:tc>
        <w:tc>
          <w:tcPr>
            <w:tcW w:w="3262" w:type="dxa"/>
            <w:shd w:val="clear" w:color="auto" w:fill="auto"/>
            <w:noWrap w:val="0"/>
            <w:vAlign w:val="center"/>
          </w:tcPr>
          <w:p w14:paraId="7C0B6B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基本存款账户开户许可证（或</w:t>
            </w:r>
            <w:r>
              <w:rPr>
                <w:rFonts w:hint="eastAsia" w:ascii="仿宋" w:hAnsi="仿宋" w:eastAsia="仿宋" w:cs="仿宋"/>
                <w:color w:val="auto"/>
                <w:sz w:val="24"/>
                <w:highlight w:val="none"/>
                <w:lang w:eastAsia="zh-CN"/>
              </w:rPr>
              <w:t>基本存款账户开户证明</w:t>
            </w:r>
            <w:r>
              <w:rPr>
                <w:rFonts w:hint="eastAsia" w:ascii="仿宋" w:hAnsi="仿宋" w:eastAsia="仿宋" w:cs="仿宋"/>
                <w:color w:val="auto"/>
                <w:sz w:val="24"/>
                <w:highlight w:val="none"/>
              </w:rPr>
              <w:t>复印件）及</w:t>
            </w:r>
            <w:r>
              <w:rPr>
                <w:rFonts w:hint="eastAsia" w:ascii="仿宋" w:hAnsi="仿宋" w:eastAsia="仿宋" w:cs="仿宋"/>
                <w:color w:val="auto"/>
                <w:sz w:val="24"/>
                <w:highlight w:val="none"/>
                <w:lang w:val="en-US" w:eastAsia="zh-CN"/>
              </w:rPr>
              <w:t>谈判</w:t>
            </w:r>
            <w:r>
              <w:rPr>
                <w:rFonts w:hint="eastAsia" w:ascii="仿宋" w:hAnsi="仿宋" w:eastAsia="仿宋" w:cs="仿宋"/>
                <w:color w:val="auto"/>
                <w:sz w:val="24"/>
                <w:highlight w:val="none"/>
              </w:rPr>
              <w:t>保证金</w:t>
            </w:r>
            <w:r>
              <w:rPr>
                <w:rFonts w:hint="eastAsia" w:ascii="仿宋" w:hAnsi="仿宋" w:eastAsia="仿宋" w:cs="仿宋"/>
                <w:color w:val="auto"/>
                <w:sz w:val="24"/>
                <w:highlight w:val="none"/>
                <w:lang w:val="en-US" w:eastAsia="zh-CN"/>
              </w:rPr>
              <w:t>凭证</w:t>
            </w:r>
          </w:p>
        </w:tc>
        <w:tc>
          <w:tcPr>
            <w:tcW w:w="5213" w:type="dxa"/>
            <w:shd w:val="clear" w:color="auto" w:fill="auto"/>
            <w:noWrap w:val="0"/>
            <w:vAlign w:val="center"/>
          </w:tcPr>
          <w:p w14:paraId="5FE3728B">
            <w:pPr>
              <w:snapToGrid w:val="0"/>
              <w:spacing w:line="360" w:lineRule="auto"/>
              <w:jc w:val="left"/>
              <w:textAlignment w:val="baseline"/>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谈判保证金须</w:t>
            </w:r>
            <w:r>
              <w:rPr>
                <w:rFonts w:hint="eastAsia" w:ascii="仿宋" w:hAnsi="仿宋" w:eastAsia="仿宋" w:cs="仿宋"/>
                <w:kern w:val="0"/>
                <w:sz w:val="24"/>
                <w:highlight w:val="none"/>
              </w:rPr>
              <w:t>按要求足额</w:t>
            </w:r>
            <w:r>
              <w:rPr>
                <w:rFonts w:hint="eastAsia" w:ascii="仿宋" w:hAnsi="仿宋" w:eastAsia="仿宋" w:cs="仿宋"/>
                <w:kern w:val="0"/>
                <w:sz w:val="24"/>
                <w:highlight w:val="none"/>
                <w:lang w:val="en-US" w:eastAsia="zh-CN"/>
              </w:rPr>
              <w:t>交纳</w:t>
            </w:r>
            <w:r>
              <w:rPr>
                <w:rFonts w:hint="eastAsia" w:ascii="仿宋" w:hAnsi="仿宋" w:eastAsia="仿宋" w:cs="仿宋"/>
                <w:kern w:val="0"/>
                <w:sz w:val="24"/>
                <w:highlight w:val="none"/>
              </w:rPr>
              <w:t>,</w:t>
            </w:r>
            <w:r>
              <w:rPr>
                <w:rFonts w:hint="eastAsia" w:ascii="仿宋" w:hAnsi="仿宋" w:eastAsia="仿宋" w:cs="仿宋"/>
                <w:kern w:val="0"/>
                <w:sz w:val="24"/>
                <w:highlight w:val="none"/>
                <w:lang w:val="en-US" w:eastAsia="zh-CN"/>
              </w:rPr>
              <w:t>提供有效的</w:t>
            </w:r>
            <w:r>
              <w:rPr>
                <w:rFonts w:hint="eastAsia" w:ascii="仿宋" w:hAnsi="仿宋" w:eastAsia="仿宋" w:cs="仿宋"/>
                <w:kern w:val="0"/>
                <w:sz w:val="24"/>
                <w:highlight w:val="none"/>
              </w:rPr>
              <w:t>基本</w:t>
            </w:r>
            <w:r>
              <w:rPr>
                <w:rFonts w:hint="eastAsia" w:ascii="仿宋" w:hAnsi="仿宋" w:eastAsia="仿宋" w:cs="仿宋"/>
                <w:kern w:val="0"/>
                <w:sz w:val="24"/>
                <w:highlight w:val="none"/>
                <w:lang w:val="en-US" w:eastAsia="zh-CN"/>
              </w:rPr>
              <w:t>存款</w:t>
            </w:r>
            <w:r>
              <w:rPr>
                <w:rFonts w:hint="eastAsia" w:ascii="仿宋" w:hAnsi="仿宋" w:eastAsia="仿宋" w:cs="仿宋"/>
                <w:kern w:val="0"/>
                <w:sz w:val="24"/>
                <w:highlight w:val="none"/>
              </w:rPr>
              <w:t>账户开户许可证或基本</w:t>
            </w:r>
            <w:r>
              <w:rPr>
                <w:rFonts w:hint="eastAsia" w:ascii="仿宋" w:hAnsi="仿宋" w:eastAsia="仿宋" w:cs="仿宋"/>
                <w:kern w:val="0"/>
                <w:sz w:val="24"/>
                <w:highlight w:val="none"/>
                <w:lang w:val="en-US" w:eastAsia="zh-CN"/>
              </w:rPr>
              <w:t>存款</w:t>
            </w:r>
            <w:r>
              <w:rPr>
                <w:rFonts w:hint="eastAsia" w:ascii="仿宋" w:hAnsi="仿宋" w:eastAsia="仿宋" w:cs="仿宋"/>
                <w:kern w:val="0"/>
                <w:sz w:val="24"/>
                <w:highlight w:val="none"/>
              </w:rPr>
              <w:t>账户</w:t>
            </w:r>
            <w:r>
              <w:rPr>
                <w:rFonts w:hint="eastAsia" w:ascii="仿宋" w:hAnsi="仿宋" w:eastAsia="仿宋" w:cs="仿宋"/>
                <w:kern w:val="0"/>
                <w:sz w:val="24"/>
                <w:highlight w:val="none"/>
                <w:lang w:val="en-US" w:eastAsia="zh-CN"/>
              </w:rPr>
              <w:t>开户证明</w:t>
            </w:r>
            <w:r>
              <w:rPr>
                <w:rFonts w:hint="eastAsia" w:ascii="仿宋" w:hAnsi="仿宋" w:eastAsia="仿宋" w:cs="仿宋"/>
                <w:kern w:val="0"/>
                <w:sz w:val="24"/>
                <w:highlight w:val="none"/>
              </w:rPr>
              <w:t>复印件</w:t>
            </w:r>
            <w:r>
              <w:rPr>
                <w:rFonts w:hint="eastAsia" w:ascii="仿宋" w:hAnsi="仿宋" w:eastAsia="仿宋" w:cs="仿宋"/>
                <w:kern w:val="0"/>
                <w:sz w:val="24"/>
                <w:highlight w:val="none"/>
                <w:lang w:eastAsia="zh-CN"/>
              </w:rPr>
              <w:t>、</w:t>
            </w:r>
            <w:r>
              <w:rPr>
                <w:rFonts w:hint="eastAsia" w:ascii="仿宋" w:hAnsi="仿宋" w:eastAsia="仿宋" w:cs="仿宋"/>
                <w:kern w:val="0"/>
                <w:sz w:val="24"/>
                <w:highlight w:val="none"/>
                <w:lang w:val="en-US" w:eastAsia="zh-CN"/>
              </w:rPr>
              <w:t>谈判保证金凭证</w:t>
            </w:r>
            <w:r>
              <w:rPr>
                <w:rFonts w:hint="eastAsia" w:ascii="仿宋" w:hAnsi="仿宋" w:eastAsia="仿宋" w:cs="仿宋"/>
                <w:kern w:val="0"/>
                <w:sz w:val="24"/>
                <w:highlight w:val="none"/>
                <w:lang w:eastAsia="zh-CN"/>
              </w:rPr>
              <w:t>或提供清晰、有效的保函。</w:t>
            </w:r>
            <w:r>
              <w:rPr>
                <w:rFonts w:hint="eastAsia" w:ascii="仿宋" w:hAnsi="仿宋" w:eastAsia="仿宋" w:cs="仿宋"/>
                <w:kern w:val="0"/>
                <w:sz w:val="24"/>
                <w:highlight w:val="none"/>
              </w:rPr>
              <w:t>否则，响应无效。</w:t>
            </w:r>
          </w:p>
        </w:tc>
      </w:tr>
    </w:tbl>
    <w:p w14:paraId="5A01E632">
      <w:pPr>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说明：</w:t>
      </w:r>
    </w:p>
    <w:p w14:paraId="23AB266D">
      <w:pPr>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1.提供的复印件不清晰、无法辨认或内容不符合规定，该项内容将视为无效。</w:t>
      </w:r>
    </w:p>
    <w:p w14:paraId="51A551C4">
      <w:pPr>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2.以上资格证明文件若有一项未提供或无效或不符合谈判文件要求，将导致其不具备谈判资格，且不允许在谈判中补正。</w:t>
      </w:r>
    </w:p>
    <w:p w14:paraId="5CF3D57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b w:val="0"/>
          <w:bCs w:val="0"/>
          <w:color w:val="auto"/>
          <w:sz w:val="24"/>
          <w:highlight w:val="none"/>
          <w:lang w:val="en-US" w:eastAsia="zh-CN"/>
        </w:rPr>
        <w:t>3.</w:t>
      </w:r>
      <w:r>
        <w:rPr>
          <w:rFonts w:hint="eastAsia" w:ascii="仿宋" w:hAnsi="仿宋" w:eastAsia="仿宋" w:cs="仿宋"/>
          <w:b w:val="0"/>
          <w:bCs w:val="0"/>
          <w:color w:val="auto"/>
          <w:sz w:val="24"/>
          <w:highlight w:val="none"/>
        </w:rPr>
        <w:t>除上述内容外，供应商提供的其他材料，不作为资格审查的内容。</w:t>
      </w:r>
    </w:p>
    <w:p w14:paraId="2E99C970">
      <w:pPr>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二、符合性审查的内容及标准</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574"/>
        <w:gridCol w:w="5920"/>
      </w:tblGrid>
      <w:tr w14:paraId="4F1C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52" w:type="dxa"/>
            <w:noWrap w:val="0"/>
            <w:vAlign w:val="center"/>
          </w:tcPr>
          <w:p w14:paraId="5E832E91">
            <w:pPr>
              <w:pStyle w:val="28"/>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序号</w:t>
            </w:r>
          </w:p>
        </w:tc>
        <w:tc>
          <w:tcPr>
            <w:tcW w:w="2574" w:type="dxa"/>
            <w:noWrap w:val="0"/>
            <w:vAlign w:val="center"/>
          </w:tcPr>
          <w:p w14:paraId="0A0C011C">
            <w:pPr>
              <w:pStyle w:val="28"/>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内容</w:t>
            </w:r>
          </w:p>
        </w:tc>
        <w:tc>
          <w:tcPr>
            <w:tcW w:w="5920" w:type="dxa"/>
            <w:noWrap w:val="0"/>
            <w:vAlign w:val="center"/>
          </w:tcPr>
          <w:p w14:paraId="0B5F36FE">
            <w:pPr>
              <w:pStyle w:val="28"/>
              <w:snapToGrid w:val="0"/>
              <w:jc w:val="center"/>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标准</w:t>
            </w:r>
          </w:p>
        </w:tc>
      </w:tr>
      <w:tr w14:paraId="276A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0F3FDE6D">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574" w:type="dxa"/>
            <w:noWrap w:val="0"/>
            <w:vAlign w:val="center"/>
          </w:tcPr>
          <w:p w14:paraId="4F435AE9">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对供应商提供的</w:t>
            </w:r>
            <w:r>
              <w:rPr>
                <w:rFonts w:hint="eastAsia" w:ascii="仿宋" w:hAnsi="仿宋" w:eastAsia="仿宋" w:cs="仿宋"/>
                <w:color w:val="auto"/>
                <w:sz w:val="24"/>
                <w:szCs w:val="24"/>
                <w:highlight w:val="none"/>
                <w:lang w:val="en-US" w:eastAsia="zh-CN"/>
              </w:rPr>
              <w:t>谈判</w:t>
            </w:r>
            <w:r>
              <w:rPr>
                <w:rFonts w:hint="eastAsia" w:ascii="仿宋" w:hAnsi="仿宋" w:eastAsia="仿宋" w:cs="仿宋"/>
                <w:color w:val="auto"/>
                <w:sz w:val="24"/>
                <w:szCs w:val="24"/>
                <w:highlight w:val="none"/>
              </w:rPr>
              <w:t>函的符合性、完整性进行审查</w:t>
            </w:r>
          </w:p>
        </w:tc>
        <w:tc>
          <w:tcPr>
            <w:tcW w:w="5920" w:type="dxa"/>
            <w:noWrap w:val="0"/>
            <w:vAlign w:val="center"/>
          </w:tcPr>
          <w:p w14:paraId="38DB1AD3">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文件第七部分要求格式提供；</w:t>
            </w:r>
            <w:r>
              <w:rPr>
                <w:rFonts w:hint="eastAsia" w:ascii="仿宋" w:hAnsi="仿宋" w:eastAsia="仿宋" w:cs="仿宋"/>
                <w:color w:val="auto"/>
                <w:sz w:val="24"/>
                <w:szCs w:val="24"/>
                <w:highlight w:val="none"/>
                <w:lang w:val="en-US" w:eastAsia="zh-CN"/>
              </w:rPr>
              <w:t>审查</w:t>
            </w:r>
            <w:r>
              <w:rPr>
                <w:rFonts w:hint="eastAsia" w:ascii="仿宋" w:hAnsi="仿宋" w:eastAsia="仿宋" w:cs="仿宋"/>
                <w:color w:val="auto"/>
                <w:sz w:val="24"/>
                <w:szCs w:val="24"/>
                <w:highlight w:val="none"/>
              </w:rPr>
              <w:t>内容是否完整；授权人签字是否在授权书有效期内；是否按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要求对其进行了签署、盖章等。</w:t>
            </w:r>
          </w:p>
        </w:tc>
      </w:tr>
      <w:tr w14:paraId="4C7E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07592900">
            <w:pPr>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2</w:t>
            </w:r>
          </w:p>
        </w:tc>
        <w:tc>
          <w:tcPr>
            <w:tcW w:w="2574" w:type="dxa"/>
            <w:noWrap w:val="0"/>
            <w:vAlign w:val="center"/>
          </w:tcPr>
          <w:p w14:paraId="4136B018">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对供应商提供的法定代表人（负责人）身份证明文件的符合性、完整性进行审查</w:t>
            </w:r>
          </w:p>
        </w:tc>
        <w:tc>
          <w:tcPr>
            <w:tcW w:w="5920" w:type="dxa"/>
            <w:noWrap w:val="0"/>
            <w:vAlign w:val="center"/>
          </w:tcPr>
          <w:p w14:paraId="6CCF26C2">
            <w:pPr>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文件第七部分要求格式提供；</w:t>
            </w:r>
            <w:r>
              <w:rPr>
                <w:rFonts w:hint="eastAsia" w:ascii="仿宋" w:hAnsi="仿宋" w:eastAsia="仿宋" w:cs="仿宋"/>
                <w:color w:val="auto"/>
                <w:sz w:val="24"/>
                <w:szCs w:val="24"/>
                <w:highlight w:val="none"/>
                <w:lang w:val="en-US" w:eastAsia="zh-CN"/>
              </w:rPr>
              <w:t>审查</w:t>
            </w:r>
            <w:r>
              <w:rPr>
                <w:rFonts w:hint="eastAsia" w:ascii="仿宋" w:hAnsi="仿宋" w:eastAsia="仿宋" w:cs="仿宋"/>
                <w:color w:val="auto"/>
                <w:sz w:val="24"/>
                <w:szCs w:val="24"/>
                <w:highlight w:val="none"/>
              </w:rPr>
              <w:t>内容是否完整；授权人签字是否在授权书有效期内；是否按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要求对其进行了签署、盖章等。</w:t>
            </w:r>
          </w:p>
        </w:tc>
      </w:tr>
      <w:tr w14:paraId="6AFE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13810F84">
            <w:pPr>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3</w:t>
            </w:r>
          </w:p>
        </w:tc>
        <w:tc>
          <w:tcPr>
            <w:tcW w:w="2574" w:type="dxa"/>
            <w:noWrap w:val="0"/>
            <w:vAlign w:val="center"/>
          </w:tcPr>
          <w:p w14:paraId="463F1403">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对供应商提供的法定代表人（负责人）授权委托书证明文件的符合性、完整性进行审查</w:t>
            </w:r>
          </w:p>
        </w:tc>
        <w:tc>
          <w:tcPr>
            <w:tcW w:w="5920" w:type="dxa"/>
            <w:noWrap w:val="0"/>
            <w:vAlign w:val="center"/>
          </w:tcPr>
          <w:p w14:paraId="11D7958D">
            <w:pPr>
              <w:spacing w:line="360" w:lineRule="auto"/>
              <w:jc w:val="both"/>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按</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文件第七部分要求格式提供；</w:t>
            </w:r>
            <w:r>
              <w:rPr>
                <w:rFonts w:hint="eastAsia" w:ascii="仿宋" w:hAnsi="仿宋" w:eastAsia="仿宋" w:cs="仿宋"/>
                <w:color w:val="auto"/>
                <w:sz w:val="24"/>
                <w:szCs w:val="24"/>
                <w:highlight w:val="none"/>
                <w:lang w:val="en-US" w:eastAsia="zh-CN"/>
              </w:rPr>
              <w:t>审查</w:t>
            </w:r>
            <w:r>
              <w:rPr>
                <w:rFonts w:hint="eastAsia" w:ascii="仿宋" w:hAnsi="仿宋" w:eastAsia="仿宋" w:cs="仿宋"/>
                <w:color w:val="auto"/>
                <w:sz w:val="24"/>
                <w:szCs w:val="24"/>
                <w:highlight w:val="none"/>
              </w:rPr>
              <w:t>内容是否完整；授权人签字是否在授权书有效期内；是否按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要求对其进行了签署、盖章等。</w:t>
            </w:r>
          </w:p>
        </w:tc>
      </w:tr>
      <w:tr w14:paraId="1854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47C766F0">
            <w:pPr>
              <w:spacing w:line="36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2574" w:type="dxa"/>
            <w:noWrap w:val="0"/>
            <w:vAlign w:val="center"/>
          </w:tcPr>
          <w:p w14:paraId="32318D56">
            <w:pPr>
              <w:snapToGrid w:val="0"/>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对供应商提供的谈判报价一览表的符合性、完整性进行审查</w:t>
            </w:r>
          </w:p>
        </w:tc>
        <w:tc>
          <w:tcPr>
            <w:tcW w:w="5920" w:type="dxa"/>
            <w:noWrap w:val="0"/>
            <w:vAlign w:val="center"/>
          </w:tcPr>
          <w:p w14:paraId="54F589B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文件第七部分要求格式提供；审查报价一览表，须内容完整、签署</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盖章</w:t>
            </w:r>
            <w:r>
              <w:rPr>
                <w:rFonts w:hint="eastAsia" w:ascii="仿宋" w:hAnsi="仿宋" w:eastAsia="仿宋" w:cs="仿宋"/>
                <w:color w:val="auto"/>
                <w:sz w:val="24"/>
                <w:szCs w:val="24"/>
                <w:highlight w:val="none"/>
              </w:rPr>
              <w:t>符合要求。否则，响应无效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报价一览表存在漏项、缺项、错项；存在有超出预算金额等情形的，响应无效；报价有可选择或可调整的报价的，响应无效。</w:t>
            </w:r>
          </w:p>
        </w:tc>
      </w:tr>
      <w:tr w14:paraId="5824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381803A7">
            <w:pPr>
              <w:spacing w:line="360" w:lineRule="auto"/>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2574" w:type="dxa"/>
            <w:noWrap w:val="0"/>
            <w:vAlign w:val="center"/>
          </w:tcPr>
          <w:p w14:paraId="79EB55F4">
            <w:pPr>
              <w:snapToGrid w:val="0"/>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对供应商提供的报价货物分项报价表的符合性、完整性进行审查</w:t>
            </w:r>
          </w:p>
        </w:tc>
        <w:tc>
          <w:tcPr>
            <w:tcW w:w="5920" w:type="dxa"/>
            <w:noWrap w:val="0"/>
            <w:vAlign w:val="center"/>
          </w:tcPr>
          <w:p w14:paraId="15458AA2">
            <w:pPr>
              <w:snapToGrid w:val="0"/>
              <w:spacing w:line="400" w:lineRule="exact"/>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文件第七部分要求格式提供；审查报价货物分项报价表，须内容完整、签署</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盖章</w:t>
            </w:r>
            <w:r>
              <w:rPr>
                <w:rFonts w:hint="eastAsia" w:ascii="仿宋" w:hAnsi="仿宋" w:eastAsia="仿宋" w:cs="仿宋"/>
                <w:color w:val="auto"/>
                <w:sz w:val="24"/>
                <w:szCs w:val="24"/>
                <w:highlight w:val="none"/>
              </w:rPr>
              <w:t>符合要求。否则，响应无效。报价货物分项报价表存在漏项、缺项、错项；存在有超出预算金额等情形的，响应无效；报价有可选择或可调整的报价的，响应无效。</w:t>
            </w:r>
          </w:p>
        </w:tc>
      </w:tr>
      <w:tr w14:paraId="7942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33437924">
            <w:pPr>
              <w:spacing w:line="360" w:lineRule="auto"/>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lang w:val="en-US" w:eastAsia="zh-CN"/>
              </w:rPr>
              <w:t>6</w:t>
            </w:r>
          </w:p>
        </w:tc>
        <w:tc>
          <w:tcPr>
            <w:tcW w:w="2574" w:type="dxa"/>
            <w:noWrap w:val="0"/>
            <w:vAlign w:val="center"/>
          </w:tcPr>
          <w:p w14:paraId="08602DCA">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对供应商提供的</w:t>
            </w:r>
            <w:r>
              <w:rPr>
                <w:rFonts w:hint="eastAsia" w:ascii="仿宋" w:hAnsi="仿宋" w:eastAsia="仿宋" w:cs="仿宋"/>
                <w:color w:val="auto"/>
                <w:sz w:val="24"/>
                <w:szCs w:val="24"/>
                <w:highlight w:val="none"/>
                <w:lang w:eastAsia="zh-CN"/>
              </w:rPr>
              <w:t>商务偏离表</w:t>
            </w:r>
            <w:r>
              <w:rPr>
                <w:rFonts w:hint="eastAsia" w:ascii="仿宋" w:hAnsi="仿宋" w:eastAsia="仿宋" w:cs="仿宋"/>
                <w:color w:val="auto"/>
                <w:sz w:val="24"/>
                <w:szCs w:val="24"/>
                <w:highlight w:val="none"/>
              </w:rPr>
              <w:t>的完整性、符合性进行审查</w:t>
            </w:r>
          </w:p>
        </w:tc>
        <w:tc>
          <w:tcPr>
            <w:tcW w:w="5920" w:type="dxa"/>
            <w:noWrap w:val="0"/>
            <w:vAlign w:val="center"/>
          </w:tcPr>
          <w:p w14:paraId="33F75C15">
            <w:pPr>
              <w:adjustRightInd w:val="0"/>
              <w:snapToGrid w:val="0"/>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按谈判文件第七部分要求格式提供</w:t>
            </w:r>
            <w:r>
              <w:rPr>
                <w:rFonts w:hint="eastAsia" w:ascii="仿宋" w:hAnsi="仿宋" w:eastAsia="仿宋" w:cs="仿宋"/>
                <w:color w:val="auto"/>
                <w:sz w:val="24"/>
                <w:szCs w:val="24"/>
                <w:highlight w:val="none"/>
                <w:lang w:eastAsia="zh-CN"/>
              </w:rPr>
              <w:t>商务偏离表</w:t>
            </w:r>
            <w:r>
              <w:rPr>
                <w:rFonts w:hint="eastAsia" w:ascii="仿宋" w:hAnsi="仿宋" w:eastAsia="仿宋" w:cs="仿宋"/>
                <w:color w:val="auto"/>
                <w:sz w:val="24"/>
                <w:szCs w:val="24"/>
                <w:highlight w:val="none"/>
              </w:rPr>
              <w:t>；对照本文件第五部分的</w:t>
            </w:r>
            <w:r>
              <w:rPr>
                <w:rFonts w:hint="eastAsia" w:ascii="仿宋" w:hAnsi="仿宋" w:eastAsia="仿宋" w:cs="仿宋"/>
                <w:color w:val="auto"/>
                <w:kern w:val="0"/>
                <w:sz w:val="24"/>
                <w:szCs w:val="24"/>
                <w:highlight w:val="none"/>
                <w:lang w:eastAsia="zh-CN"/>
              </w:rPr>
              <w:t>商务要求</w:t>
            </w:r>
            <w:r>
              <w:rPr>
                <w:rFonts w:hint="eastAsia" w:ascii="仿宋" w:hAnsi="仿宋" w:eastAsia="仿宋" w:cs="仿宋"/>
                <w:color w:val="auto"/>
                <w:sz w:val="24"/>
                <w:szCs w:val="24"/>
                <w:highlight w:val="none"/>
              </w:rPr>
              <w:t>和响应文件的响应情况进行审查，没有做出实质性响应的做</w:t>
            </w:r>
            <w:r>
              <w:rPr>
                <w:rFonts w:hint="eastAsia" w:ascii="仿宋" w:hAnsi="仿宋" w:eastAsia="仿宋" w:cs="仿宋"/>
                <w:color w:val="auto"/>
                <w:sz w:val="24"/>
                <w:szCs w:val="24"/>
                <w:highlight w:val="none"/>
                <w:lang w:eastAsia="zh-CN"/>
              </w:rPr>
              <w:t>无效响应</w:t>
            </w:r>
            <w:r>
              <w:rPr>
                <w:rFonts w:hint="eastAsia" w:ascii="仿宋" w:hAnsi="仿宋" w:eastAsia="仿宋" w:cs="仿宋"/>
                <w:color w:val="auto"/>
                <w:sz w:val="24"/>
                <w:szCs w:val="24"/>
                <w:highlight w:val="none"/>
              </w:rPr>
              <w:t>处理。</w:t>
            </w:r>
          </w:p>
        </w:tc>
      </w:tr>
      <w:tr w14:paraId="1909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7BB5D2C0">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2574" w:type="dxa"/>
            <w:noWrap w:val="0"/>
            <w:vAlign w:val="center"/>
          </w:tcPr>
          <w:p w14:paraId="6BEBECA7">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对供应商提供的</w:t>
            </w:r>
            <w:r>
              <w:rPr>
                <w:rFonts w:hint="eastAsia" w:ascii="仿宋" w:hAnsi="仿宋" w:eastAsia="仿宋" w:cs="仿宋"/>
                <w:color w:val="auto"/>
                <w:sz w:val="24"/>
                <w:szCs w:val="24"/>
                <w:highlight w:val="none"/>
                <w:lang w:eastAsia="zh-CN"/>
              </w:rPr>
              <w:t>技术偏离表</w:t>
            </w:r>
            <w:r>
              <w:rPr>
                <w:rFonts w:hint="eastAsia" w:ascii="仿宋" w:hAnsi="仿宋" w:eastAsia="仿宋" w:cs="仿宋"/>
                <w:color w:val="auto"/>
                <w:sz w:val="24"/>
                <w:szCs w:val="24"/>
                <w:highlight w:val="none"/>
              </w:rPr>
              <w:t>的完整性、符合性进行审查</w:t>
            </w:r>
          </w:p>
        </w:tc>
        <w:tc>
          <w:tcPr>
            <w:tcW w:w="5920" w:type="dxa"/>
            <w:noWrap w:val="0"/>
            <w:vAlign w:val="center"/>
          </w:tcPr>
          <w:p w14:paraId="7FFC48C4">
            <w:pPr>
              <w:adjustRightInd w:val="0"/>
              <w:snapToGrid w:val="0"/>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按谈判文件第七部分要求格式提供</w:t>
            </w:r>
            <w:r>
              <w:rPr>
                <w:rFonts w:hint="eastAsia" w:ascii="仿宋" w:hAnsi="仿宋" w:eastAsia="仿宋" w:cs="仿宋"/>
                <w:color w:val="auto"/>
                <w:sz w:val="24"/>
                <w:szCs w:val="24"/>
                <w:highlight w:val="none"/>
                <w:lang w:eastAsia="zh-CN"/>
              </w:rPr>
              <w:t>技术偏离表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技术偏离表</w:t>
            </w:r>
            <w:r>
              <w:rPr>
                <w:rFonts w:hint="eastAsia" w:ascii="仿宋" w:hAnsi="仿宋" w:eastAsia="仿宋" w:cs="仿宋"/>
                <w:color w:val="auto"/>
                <w:sz w:val="24"/>
                <w:szCs w:val="24"/>
                <w:highlight w:val="none"/>
              </w:rPr>
              <w:t>须内容完整、签署</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盖章</w:t>
            </w:r>
            <w:r>
              <w:rPr>
                <w:rFonts w:hint="eastAsia" w:ascii="仿宋" w:hAnsi="仿宋" w:eastAsia="仿宋" w:cs="仿宋"/>
                <w:color w:val="auto"/>
                <w:sz w:val="24"/>
                <w:szCs w:val="24"/>
                <w:highlight w:val="none"/>
              </w:rPr>
              <w:t>符合要求。否则，响应无效。对照本文件第五部分</w:t>
            </w:r>
            <w:r>
              <w:rPr>
                <w:rFonts w:hint="eastAsia" w:ascii="仿宋" w:hAnsi="仿宋" w:eastAsia="仿宋" w:cs="仿宋"/>
                <w:color w:val="auto"/>
                <w:sz w:val="24"/>
                <w:szCs w:val="24"/>
                <w:highlight w:val="none"/>
                <w:lang w:eastAsia="zh-CN"/>
              </w:rPr>
              <w:t>的</w:t>
            </w:r>
            <w:r>
              <w:rPr>
                <w:rFonts w:hint="eastAsia" w:ascii="仿宋" w:hAnsi="仿宋" w:eastAsia="仿宋" w:cs="仿宋"/>
                <w:color w:val="auto"/>
                <w:sz w:val="24"/>
                <w:szCs w:val="24"/>
                <w:highlight w:val="none"/>
                <w:lang w:val="en-US" w:eastAsia="zh-CN"/>
              </w:rPr>
              <w:t>技术要求中标“★”的内容</w:t>
            </w:r>
            <w:r>
              <w:rPr>
                <w:rFonts w:hint="eastAsia" w:ascii="仿宋" w:hAnsi="仿宋" w:eastAsia="仿宋" w:cs="仿宋"/>
                <w:color w:val="auto"/>
                <w:sz w:val="24"/>
                <w:szCs w:val="24"/>
                <w:highlight w:val="none"/>
              </w:rPr>
              <w:t>和响应文件的响应情况进行审查；或谈判小组共同认定属于响应文件存在重大偏离的情况进行审查，没有做出实质性、符合性响应的做</w:t>
            </w:r>
            <w:r>
              <w:rPr>
                <w:rFonts w:hint="eastAsia" w:ascii="仿宋" w:hAnsi="仿宋" w:eastAsia="仿宋" w:cs="仿宋"/>
                <w:color w:val="auto"/>
                <w:sz w:val="24"/>
                <w:szCs w:val="24"/>
                <w:highlight w:val="none"/>
                <w:lang w:eastAsia="zh-CN"/>
              </w:rPr>
              <w:t>无效响应</w:t>
            </w:r>
            <w:r>
              <w:rPr>
                <w:rFonts w:hint="eastAsia" w:ascii="仿宋" w:hAnsi="仿宋" w:eastAsia="仿宋" w:cs="仿宋"/>
                <w:color w:val="auto"/>
                <w:sz w:val="24"/>
                <w:szCs w:val="24"/>
                <w:highlight w:val="none"/>
              </w:rPr>
              <w:t>处理。</w:t>
            </w:r>
          </w:p>
        </w:tc>
      </w:tr>
      <w:tr w14:paraId="5B1D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52" w:type="dxa"/>
            <w:noWrap w:val="0"/>
            <w:vAlign w:val="center"/>
          </w:tcPr>
          <w:p w14:paraId="177ECC45">
            <w:pPr>
              <w:spacing w:line="360" w:lineRule="auto"/>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lang w:val="en-US" w:eastAsia="zh-CN"/>
              </w:rPr>
              <w:t>8</w:t>
            </w:r>
          </w:p>
        </w:tc>
        <w:tc>
          <w:tcPr>
            <w:tcW w:w="2574" w:type="dxa"/>
            <w:noWrap w:val="0"/>
            <w:vAlign w:val="center"/>
          </w:tcPr>
          <w:p w14:paraId="27F2B44A">
            <w:pPr>
              <w:adjustRightInd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响应文件有效期</w:t>
            </w:r>
          </w:p>
        </w:tc>
        <w:tc>
          <w:tcPr>
            <w:tcW w:w="5920" w:type="dxa"/>
            <w:noWrap w:val="0"/>
            <w:vAlign w:val="center"/>
          </w:tcPr>
          <w:p w14:paraId="76A2624B">
            <w:pPr>
              <w:adjustRightInd w:val="0"/>
              <w:snapToGrid w:val="0"/>
              <w:spacing w:line="36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响应文件有效期是否满足谈判文件要求</w:t>
            </w:r>
          </w:p>
        </w:tc>
      </w:tr>
      <w:tr w14:paraId="64AD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2" w:type="dxa"/>
            <w:noWrap w:val="0"/>
            <w:vAlign w:val="center"/>
          </w:tcPr>
          <w:p w14:paraId="72E520F9">
            <w:pPr>
              <w:spacing w:line="360" w:lineRule="auto"/>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sz w:val="24"/>
                <w:szCs w:val="24"/>
                <w:highlight w:val="none"/>
                <w:lang w:val="en-US" w:eastAsia="zh-CN"/>
              </w:rPr>
              <w:t>9</w:t>
            </w:r>
          </w:p>
        </w:tc>
        <w:tc>
          <w:tcPr>
            <w:tcW w:w="2574" w:type="dxa"/>
            <w:noWrap w:val="0"/>
            <w:vAlign w:val="center"/>
          </w:tcPr>
          <w:p w14:paraId="74A5E101">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其他</w:t>
            </w:r>
          </w:p>
        </w:tc>
        <w:tc>
          <w:tcPr>
            <w:tcW w:w="5920" w:type="dxa"/>
            <w:noWrap w:val="0"/>
            <w:vAlign w:val="center"/>
          </w:tcPr>
          <w:p w14:paraId="34FDB37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供应商符合</w:t>
            </w:r>
            <w:r>
              <w:rPr>
                <w:rFonts w:hint="eastAsia" w:ascii="仿宋" w:hAnsi="仿宋" w:eastAsia="仿宋" w:cs="仿宋"/>
                <w:color w:val="auto"/>
                <w:sz w:val="24"/>
                <w:highlight w:val="none"/>
                <w:lang w:val="en-US" w:eastAsia="zh-CN"/>
              </w:rPr>
              <w:t>谈判</w:t>
            </w:r>
            <w:r>
              <w:rPr>
                <w:rFonts w:hint="eastAsia" w:ascii="仿宋" w:hAnsi="仿宋" w:eastAsia="仿宋" w:cs="仿宋"/>
                <w:color w:val="auto"/>
                <w:sz w:val="24"/>
                <w:highlight w:val="none"/>
              </w:rPr>
              <w:t>文件第二部分供应商须知前附表</w:t>
            </w:r>
            <w:r>
              <w:rPr>
                <w:rFonts w:hint="eastAsia" w:ascii="仿宋" w:hAnsi="仿宋" w:eastAsia="仿宋" w:cs="仿宋"/>
                <w:color w:val="auto"/>
                <w:sz w:val="24"/>
                <w:highlight w:val="none"/>
                <w:lang w:eastAsia="zh-CN"/>
              </w:rPr>
              <w:t>和第三部分供应商须知</w:t>
            </w:r>
            <w:r>
              <w:rPr>
                <w:rFonts w:hint="eastAsia" w:ascii="仿宋" w:hAnsi="仿宋" w:eastAsia="仿宋" w:cs="仿宋"/>
                <w:color w:val="auto"/>
                <w:sz w:val="24"/>
                <w:highlight w:val="none"/>
              </w:rPr>
              <w:t>的规定；</w:t>
            </w:r>
            <w:r>
              <w:rPr>
                <w:rFonts w:hint="eastAsia" w:ascii="仿宋" w:hAnsi="仿宋" w:eastAsia="仿宋" w:cs="仿宋"/>
                <w:color w:val="auto"/>
                <w:sz w:val="24"/>
                <w:highlight w:val="none"/>
                <w:lang w:val="en-US" w:eastAsia="zh-CN"/>
              </w:rPr>
              <w:t>商务、技术</w:t>
            </w:r>
            <w:r>
              <w:rPr>
                <w:rFonts w:hint="eastAsia" w:ascii="仿宋" w:hAnsi="仿宋" w:eastAsia="仿宋" w:cs="仿宋"/>
                <w:color w:val="auto"/>
                <w:sz w:val="24"/>
                <w:highlight w:val="none"/>
              </w:rPr>
              <w:t>没有超出</w:t>
            </w:r>
            <w:r>
              <w:rPr>
                <w:rFonts w:hint="eastAsia" w:ascii="仿宋" w:hAnsi="仿宋" w:eastAsia="仿宋" w:cs="仿宋"/>
                <w:color w:val="auto"/>
                <w:sz w:val="24"/>
                <w:highlight w:val="none"/>
                <w:lang w:val="en-US" w:eastAsia="zh-CN"/>
              </w:rPr>
              <w:t>谈判</w:t>
            </w:r>
            <w:r>
              <w:rPr>
                <w:rFonts w:hint="eastAsia" w:ascii="仿宋" w:hAnsi="仿宋" w:eastAsia="仿宋" w:cs="仿宋"/>
                <w:color w:val="auto"/>
                <w:sz w:val="24"/>
                <w:highlight w:val="none"/>
              </w:rPr>
              <w:t>文件可接受的偏差范围；响应文件没附有</w:t>
            </w:r>
            <w:r>
              <w:rPr>
                <w:rFonts w:hint="eastAsia" w:ascii="仿宋" w:hAnsi="仿宋" w:eastAsia="仿宋" w:cs="仿宋"/>
                <w:color w:val="auto"/>
                <w:sz w:val="24"/>
                <w:highlight w:val="none"/>
                <w:lang w:val="en-US" w:eastAsia="zh-CN"/>
              </w:rPr>
              <w:t>谈判</w:t>
            </w:r>
            <w:r>
              <w:rPr>
                <w:rFonts w:hint="eastAsia" w:ascii="仿宋" w:hAnsi="仿宋" w:eastAsia="仿宋" w:cs="仿宋"/>
                <w:color w:val="auto"/>
                <w:sz w:val="24"/>
                <w:highlight w:val="none"/>
              </w:rPr>
              <w:t>文件不能接受的条件</w:t>
            </w:r>
          </w:p>
        </w:tc>
      </w:tr>
    </w:tbl>
    <w:p w14:paraId="2ED023BE">
      <w:pPr>
        <w:snapToGrid w:val="0"/>
        <w:spacing w:line="360" w:lineRule="auto"/>
        <w:ind w:left="1080" w:hanging="1080" w:hangingChars="45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14:paraId="53FA65C4">
      <w:pPr>
        <w:pStyle w:val="28"/>
        <w:snapToGrid w:val="0"/>
        <w:spacing w:line="360" w:lineRule="auto"/>
        <w:ind w:left="2" w:firstLine="420" w:firstLineChars="17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1.符合性审查的内容，经谈判小组共同认定没有做出实质性、符合性响应的，将导致</w:t>
      </w:r>
      <w:r>
        <w:rPr>
          <w:rFonts w:hint="eastAsia" w:ascii="仿宋" w:hAnsi="仿宋" w:eastAsia="仿宋" w:cs="仿宋"/>
          <w:color w:val="auto"/>
          <w:sz w:val="24"/>
          <w:szCs w:val="24"/>
          <w:highlight w:val="none"/>
          <w:lang w:val="en-US" w:eastAsia="zh-CN"/>
        </w:rPr>
        <w:t>报价</w:t>
      </w:r>
      <w:r>
        <w:rPr>
          <w:rFonts w:hint="eastAsia" w:ascii="仿宋" w:hAnsi="仿宋" w:eastAsia="仿宋" w:cs="仿宋"/>
          <w:color w:val="auto"/>
          <w:sz w:val="24"/>
          <w:szCs w:val="24"/>
          <w:highlight w:val="none"/>
        </w:rPr>
        <w:t>无效。</w:t>
      </w:r>
    </w:p>
    <w:p w14:paraId="4DC6C2A9">
      <w:pPr>
        <w:pStyle w:val="28"/>
        <w:snapToGrid w:val="0"/>
        <w:spacing w:line="360" w:lineRule="auto"/>
        <w:ind w:left="2" w:firstLine="420" w:firstLineChars="17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审查时，对特殊情况的处理</w:t>
      </w:r>
      <w:r>
        <w:rPr>
          <w:rFonts w:hint="eastAsia" w:ascii="仿宋" w:hAnsi="仿宋" w:eastAsia="仿宋" w:cs="仿宋"/>
          <w:color w:val="auto"/>
          <w:sz w:val="24"/>
          <w:szCs w:val="24"/>
          <w:highlight w:val="none"/>
          <w:lang w:eastAsia="zh-CN"/>
        </w:rPr>
        <w:t>谈判小组</w:t>
      </w:r>
      <w:r>
        <w:rPr>
          <w:rFonts w:hint="eastAsia" w:ascii="仿宋" w:hAnsi="仿宋" w:eastAsia="仿宋" w:cs="仿宋"/>
          <w:color w:val="auto"/>
          <w:sz w:val="24"/>
          <w:szCs w:val="24"/>
          <w:highlight w:val="none"/>
        </w:rPr>
        <w:t>要遵循</w:t>
      </w:r>
      <w:r>
        <w:rPr>
          <w:rFonts w:hint="eastAsia" w:ascii="仿宋" w:hAnsi="仿宋" w:eastAsia="仿宋" w:cs="仿宋"/>
          <w:color w:val="auto"/>
          <w:sz w:val="24"/>
          <w:szCs w:val="24"/>
          <w:highlight w:val="none"/>
          <w:lang w:val="en-US" w:eastAsia="zh-CN"/>
        </w:rPr>
        <w:t>谈判</w:t>
      </w:r>
      <w:r>
        <w:rPr>
          <w:rFonts w:hint="eastAsia" w:ascii="仿宋" w:hAnsi="仿宋" w:eastAsia="仿宋" w:cs="仿宋"/>
          <w:color w:val="auto"/>
          <w:sz w:val="24"/>
          <w:szCs w:val="24"/>
          <w:highlight w:val="none"/>
        </w:rPr>
        <w:t>文件第三部分</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须知第</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rPr>
        <w:t>条规定的原则。</w:t>
      </w:r>
    </w:p>
    <w:p w14:paraId="763ADA8B">
      <w:pPr>
        <w:pStyle w:val="28"/>
        <w:snapToGrid w:val="0"/>
        <w:spacing w:line="360" w:lineRule="auto"/>
        <w:ind w:firstLine="482" w:firstLineChars="200"/>
        <w:jc w:val="lef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三、落实政府采购政策性要求的评审内容及标准</w:t>
      </w:r>
    </w:p>
    <w:p w14:paraId="3D81D1EE">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1、本项目涉及进口产品的要求：</w:t>
      </w:r>
    </w:p>
    <w:p w14:paraId="104A1DF4">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（1）投标货物未特别注明“进口产品”（通过中国海关报关验放进入中国境内且产自境外的产品）字样的，均必须采购国产产品。</w:t>
      </w:r>
    </w:p>
    <w:p w14:paraId="0C66F5CC">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本项目采购标的物特别注明“进口产品”字样的，如无能够满足采购需求的国产产品，优先采购向我国企业转让技术、与我国企业签订消化吸收再创新方案的供应商的进口产品。如果有能够满足采购需求的国产产品参与，应当按照公平竞争的原则进行评审。</w:t>
      </w:r>
    </w:p>
    <w:p w14:paraId="79D30FC4">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2、本项目涉及节能产品、环境标志产品的要求：</w:t>
      </w:r>
    </w:p>
    <w:p w14:paraId="44BA93F0">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(1)本项目采购标的物中如包含政府强制采购产品的，供应商必须投报 “节能产品政府采购品目清单”范围内的产品；</w:t>
      </w:r>
    </w:p>
    <w:p w14:paraId="4461C23A">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(2)本文件未列出政府强制采购产品的，供应商可投报“节能产品政府采购品目清单”中非政府强制采购产品或其范围以外的产品；</w:t>
      </w:r>
    </w:p>
    <w:p w14:paraId="191EB093">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投标产品中如包含“节能产品政府采购品目清单”政府强制采购产品的，需将政府强制采购产品如实填写到《政府强制采购产品明细表》，并提供处于有效期之内的节能产品认证证书扫描件，未附有效认证证书，将有可能导致响应文件无效。</w:t>
      </w:r>
    </w:p>
    <w:p w14:paraId="67796DFA">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3、本项目涉及政府绿色采购有关事项</w:t>
      </w:r>
    </w:p>
    <w:p w14:paraId="0A40C314">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（1）依据《山西省财政厅关于进一步加强政府绿色采购有关事项的通知》，对实施强制采购或执行强制性绿色采购标准的品目，不接受非强制采购产品。</w:t>
      </w:r>
    </w:p>
    <w:p w14:paraId="4AC3AD18">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关于绿色建材：本项目中涉及的建筑材料属于《绿色建筑和绿色建材政府采购需求标准（2025年版）》明确为“必选类”的，供应商应当全部采购和使用符合相关标准的绿色建材。绿色建筑和绿色建材政府采购需求标准（2025年版）原文链接（https://www.gov.cn/zhengce/zhengceku/202501/P020250111596858618141.docx）。</w:t>
      </w:r>
    </w:p>
    <w:p w14:paraId="75C9F1B6">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前述建筑材料，供应商应在材料进场时提供建材产品符合需求标准的证明性文件，包括国家统一推行的绿色建材产品认证证书，或符合需求标准的有效检测报告等。涉及绿色建材的供应商须按照采购文件格式提供《绿色建材承诺函》（详见第八部分 政府采购政策性要求）。</w:t>
      </w:r>
    </w:p>
    <w:p w14:paraId="26801636">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绿色数据中心建设：若本项目属于数据中心建设项目时，招标人应按照《绿色数据中心政府采购需求标准（试行）》有关要求实施相关采购活动。采购数据中心的相关设备、运维服务应当有利于节约能源、环境保护和资源循环利用，大型、超大型数据中心应全部达到绿色数据中心要求。</w:t>
      </w:r>
    </w:p>
    <w:p w14:paraId="1EE299FE">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4、采购项目中如含有计算机，必须预装正版操作系统软件产品，项目中所采购的其它软件必须为正版软件。</w:t>
      </w:r>
    </w:p>
    <w:p w14:paraId="273D9590">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5、涉及网络安全产品的要求</w:t>
      </w:r>
    </w:p>
    <w:p w14:paraId="7EA82C7C">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按照《关于调整网络安全专用产品安全管理有关事项的公告》（2023年第1号）和《关于调整〈网络关键设备和网络安全专用产品目录〉的公告》（2023年第2号）的有关要求，自2023年7月1日起，列入《网络关键设备和网络安全专用产品目录》的网络安全专用产品应当按照《信息安全技术网络安全专用产品安全技术要求》等相关国家标准的强制性要求，由具备资格的机构安全认证合格或安全检测符合要求的，或此前已经获得《计算机信息系统安全专用产品销售许可证》且在有效期内的，方可销售或者提供。</w:t>
      </w:r>
    </w:p>
    <w:p w14:paraId="1A6158E5">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（2）网络安全产品包括：网络关键设备和网络安全专用产品。</w:t>
      </w:r>
    </w:p>
    <w:p w14:paraId="02FC2E38">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（3）具备资格的机构是指列入《承担网络关键设备和网络安全专用产品安全认证和安全检测任务机构名录》的机构。</w:t>
      </w:r>
    </w:p>
    <w:p w14:paraId="516AD8AE">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6、供应商需填写商品包装和快递包装承诺函，承诺商品包装符合《商品包装政府采购需求标准（试行）》，快递包装符合《快递包装政府采购需求标准（试行）》。</w:t>
      </w:r>
    </w:p>
    <w:p w14:paraId="75F6C796">
      <w:pPr>
        <w:pStyle w:val="28"/>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供应商参加本次活动，如涉及上述1-6项要求，均应作出实质性响应，否则将导致投标无效。</w:t>
      </w:r>
    </w:p>
    <w:p w14:paraId="2E154C75">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7、中小企业参加本项目投标要求：依据《政府采购促进中小企业发展管理办法》（财库〔2020〕46号）、 《关于进一步加大政府采购支持中小企业力度的通知》（财库〔2022〕19 号）、《山西省财政厅关于进一步加大政府采购支持中小企业力度助力扎实稳住经济的通知》（晋财购〔2022〕6号）、《中小企业划型标准规 定》（工信部联企业〔2011〕300号）规定的划分标准，服务由中小企业提供或货物由中小企业制造，即货物由中小企业生产且使用该中小企业商号或者注册商标。在本项目中满足采购需求、质量相等的情况下，对属于小微企业给予15％的价格优惠扣除，用扣除后的价格参与评审。</w:t>
      </w:r>
    </w:p>
    <w:p w14:paraId="4F4DF4E3">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(1)参加政府采购活动的中小企业应当按照《政府采购促进中小企业发 展管理办法》（财库〔2020〕46号）提供《中小企业声明函》，否则不得享受相关中小企业扶持政策。若提供声明函内容不实，属于提供虚假材料谋取中标的，依照《中华人民共和国政府采购法》等国家有关规定追究相应责任。 </w:t>
      </w:r>
    </w:p>
    <w:p w14:paraId="7DF785DC">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(2)依据《政府采购促进中小企业发展管理办法》（财库〔2020〕46号） 享受扶持政策获得政府采购合同的，小微企业不得将合同分包给大型企业，中型企业不得将合同分包给大型企业。 </w:t>
      </w:r>
    </w:p>
    <w:p w14:paraId="1323D049">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8、残疾人福利性单位参加本项目投标的要求： </w:t>
      </w:r>
    </w:p>
    <w:p w14:paraId="3DCCF4C8">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(1)根据《关于促进残疾人就业政府采购政策的通知》（财库〔2017〕 141号），如实填写残疾人福利性单位声明函，残疾人福利性单位参加本项目投标时，给予15％的价格优惠扣除，用扣除后的价格参与评审。</w:t>
      </w:r>
    </w:p>
    <w:p w14:paraId="190F041D">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(2)享受政府采购支持政策的残疾人福利性单位应当同时满足以下条件：</w:t>
      </w:r>
    </w:p>
    <w:p w14:paraId="49E8336E">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A.安置的残疾人占本单位在职职工人数的比例不低于25%（含25%），并 且安置的残疾人人数不少于10人（含10人）；</w:t>
      </w:r>
    </w:p>
    <w:p w14:paraId="47AB88BD">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B.依法与安置的每位残疾人签订了一年以上（含一年）的劳动合同或服 务协议；</w:t>
      </w:r>
    </w:p>
    <w:p w14:paraId="4C706F20">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C.为安置的每位残疾人按月足额缴纳了基本养老保险、基本医疗保险、 失业保险、工伤保险和生育保险等社会保险费；</w:t>
      </w:r>
    </w:p>
    <w:p w14:paraId="0C54C1FE">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D.通过银行等金融机构向安置的每位残疾人，按月支付了不低于单位所在区县适用的经省级人民政府批准的月最低工资标准的工资； </w:t>
      </w:r>
    </w:p>
    <w:p w14:paraId="1D581095">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E．提供本单位制造的货物、承担的工程或者服务（以下简称产品），或者提供其他残疾人福利性单位制造的货物（不包括使用非残疾人福利性单位注册商标的货物）。 前款所称残疾人是指法定劳动年龄内，持有《中华人民共和国残疾人证》 或者《中华人民共和国残疾军人证（1至8级）》的自然人，包括具有劳动条件和劳动意愿的精神残疾人。在职职工人数是指与残疾人福利性单位建立劳动关系并依法签订劳动合同或者服务协议的雇员人数。 </w:t>
      </w:r>
    </w:p>
    <w:p w14:paraId="1EA8FA12">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(3)供应商提供的《残疾人福利性单位声明函》与事实不符的，依照《中华人民共和国政府采购法》第七十七条第一款的规定追究法律责任。 残疾人福利性单位视同小型、微型企业，享受预留份额、评审中价格扣 除等促进中小企业发展的政府采购政策。向残疾人福利性单位采购的金额，计入面向中小企业采购的统计数据。残疾人福利性单位属于小型、 微型企业的，不重复享受政策。</w:t>
      </w:r>
    </w:p>
    <w:p w14:paraId="5697A486">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9、监狱企业参加本项目： 依据《财政部司法部关于政府采购支持监狱企业发展有关问题的通知》 (财库〔2014〕68号)规定，监狱企业视同小型、微型企业，享受预留份额、评审中价格扣除等政府采购促进中小企业发展的政府采购政策。</w:t>
      </w:r>
    </w:p>
    <w:p w14:paraId="2F663C3A">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10、本项目涉及创新产品、创新服务的评审标准 </w:t>
      </w:r>
    </w:p>
    <w:p w14:paraId="515C7634">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（1）供应商提供的服务属于《山西省创新产品和服务推荐清单》中创新产品或创新服务的，在评审时，其报价享受6%的价格折扣，以折扣后的价格参与评审。</w:t>
      </w:r>
    </w:p>
    <w:p w14:paraId="232DF251">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（2）供应商提供创新服务的，应在响应文件中填写《创新服务明细表》，并提供《山西省创新产品和服务推荐清单》。</w:t>
      </w:r>
    </w:p>
    <w:p w14:paraId="33DFB1B9">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（3）创新服务的价格折扣政策可与其他政府采购政策叠加。</w:t>
      </w:r>
    </w:p>
    <w:p w14:paraId="5974AF09">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11、本项目涉及绿色产品及评审标准 </w:t>
      </w:r>
    </w:p>
    <w:p w14:paraId="1E520BA5">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本项目列明的优先采购绿色产品标的物，供应商可选择投报以下产品：</w:t>
      </w:r>
    </w:p>
    <w:p w14:paraId="1B90E40B">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①《节能产品政府采购品目清单》中的非强制类节能产品；</w:t>
      </w:r>
    </w:p>
    <w:p w14:paraId="71D71853">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②《环境标志产品政府采购品目清单》（以财政部、生态环境部最新发布版本为准）中的环境标志产品；</w:t>
      </w:r>
    </w:p>
    <w:p w14:paraId="62A59252">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③清单以外符合国家绿色产品标准的产品。 </w:t>
      </w:r>
    </w:p>
    <w:p w14:paraId="6393C30D">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当供应商所投产品属于本文件约定的优先采购绿色产品范围且符合下列条件之一的，享受价格折扣政策优惠： </w:t>
      </w:r>
    </w:p>
    <w:p w14:paraId="42535CDB">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①投报《节能产品政府采购品目清单》非强制类产品的，提供有效期内的节能产品认证证书扫描件；</w:t>
      </w:r>
    </w:p>
    <w:p w14:paraId="5172EEC0">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②投报《环境标志产品政府采购品目清单》产品的，提供有效期内的环境标志产品认证证书扫描件； </w:t>
      </w:r>
    </w:p>
    <w:p w14:paraId="7D95DB10">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③投报清单外绿色产品的，提供国家确定的认证机构出具的有效期内的绿色产品认证证书扫描件。</w:t>
      </w:r>
    </w:p>
    <w:p w14:paraId="0B516781">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④符合上述条件的供应商，须如实填写《政府采购绿色产品明细表》，经评审确认后给予4%的价格扣除。 </w:t>
      </w:r>
    </w:p>
    <w:p w14:paraId="48003E97">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注：对符合《政府采购促进中小企业发展管理办法》（财库〔2020〕46 号）规定的中小微企业、监狱企业、残疾人福利性单位等主体，严格落 实政府采购优惠政策，其享有的中小企业价格扣除（或扶持）政策与本条款绿色采购价格扣除优惠措施可分别计算、叠加执行，具体叠加计算方式以财政部及项目属地财政主管部门最新政策文件为准。</w:t>
      </w:r>
    </w:p>
    <w:p w14:paraId="245AFE9C">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12、采购单位应按照《财政部工业和信息化部生态环境部国家能源局关于印发&lt;绿色数据中心政府采购需求标准（试行）&gt;的通知》（财库〔2022〕19号）及后续更新政策的有关要求实施本项目数据中心相关采购活动。 供应商所投数据中心相关设备（含服务器、存储设备、网络设备等）及运维服务，须符合节约能源、环境保护和资源循环利用的要求；其中涉及大型、超大型数据中心采购的，所投产品及服务应全部达到《绿色数据中心政府采购需求标准（试行）》规定的技术指标和要求。 供应商须如实提供《符合绿色数据中心建设要求承诺书》，承诺内容包括但不限于产品技术参数、能效指标、环保性能等符合绿色数据中心标准，若经查实承诺虚假，将视为无效响应并承担相应法律责任。 </w:t>
      </w:r>
    </w:p>
    <w:p w14:paraId="34562C74">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13、本国产品的支持政策：</w:t>
      </w:r>
    </w:p>
    <w:p w14:paraId="2DF4DB78">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（1）本国产品标准主要包括以下三方面内容：</w:t>
      </w:r>
    </w:p>
    <w:p w14:paraId="5EF2B84F">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在中国境内生产：产品应当在中华人民共和国关境内实现从原材料、组件到产品的属性改变。属性改变是指经过制造、加工或者组装等工序，产生完全不同于原材料、组件的新产品，并具有新的名称和特征（用途），不含包装、贴牌以及简单的上漆、磨光和分装等细微操作。</w:t>
      </w:r>
    </w:p>
    <w:p w14:paraId="5D493EF2">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中国境内生产的组件成本占比要求。产品在中国境内生产的组件成本占产品总成本的比重应当达到规定比例。</w:t>
      </w:r>
    </w:p>
    <w:p w14:paraId="3C4CFA1C">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特定产品的关键组件、关键工序要求。对特定产品，在符合上述两项条件的基础上，还应当符合财政部会同有关行业主管部门确定的其关键组件在中国境内生产、关键工序在中国境内完成等要求。</w:t>
      </w:r>
    </w:p>
    <w:p w14:paraId="4835782E">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D279A14">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（3）政府采购活动中既有本国产品又有非本国产品参与竞争的，依法对本国产品给予价格评审优惠，对本国产品的报价给予20%的价格扣除，用扣除后的价格参与评审。</w:t>
      </w:r>
    </w:p>
    <w:p w14:paraId="5AA15AAD">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4）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D87187">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（5）产品在中国境内生产的组件成本核算规则。产品在中国境内生产的组件成本，按照《中国境内生产的组件成本核算基本规则》计算。</w:t>
      </w:r>
    </w:p>
    <w:p w14:paraId="6C740156">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（6）供应商对其提供的产品出具《关于符合本国产品标准的声明函》或财政部会同有关部门规定的有关证明文件。</w:t>
      </w:r>
    </w:p>
    <w:p w14:paraId="7891135E">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7）招标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4773677C">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14、无线局域网产品政府采购政策：</w:t>
      </w:r>
    </w:p>
    <w:p w14:paraId="4CD5D6A3">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本项目采购的产品属于中国政府采购网公布的《无线局域网认证产品政府采购清单》且在有效期内的，提供《中国政府采购网》公布的无线局域网产品政府采购清单封面及对应页，实行优先采购。</w:t>
      </w:r>
    </w:p>
    <w:p w14:paraId="17B96021">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15、接受大中型企业与小微企业组成联合体或者允许大中型企业向一家或者多家小微企业分包的采购项目，对于联合协议或者分包意向协议约定小微企业的合同份额占到合同总金额30%以上的，给予5%的扣除。 </w:t>
      </w:r>
    </w:p>
    <w:p w14:paraId="1DA46F01">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16、根据《关于推动政府采购异常低价问题的通知》(财库(2026)2号)相关规定，本项目在评审环节将严格按照文件要求执行，出现下列情形之一的评审委员会应当启动异常低价投标（响应）审查程序：</w:t>
      </w:r>
    </w:p>
    <w:p w14:paraId="4D3AAD06">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10.1投标（响应）报价低于全部通过符合性审查供应商投标（响应）报价平均值65%的，即投标（响应）报价&lt;全部通过符合性审查供应商投标（响应）报价平均值×65%；</w:t>
      </w:r>
    </w:p>
    <w:p w14:paraId="0106D99F">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10.2投标（响应）报价低于通过符合性审查的次低报价供应商投标（响应）报价65%的，即投标（响应）报价&lt;通过符合性审查的次低报价供应商投标（响应）报价×65%；</w:t>
      </w:r>
    </w:p>
    <w:p w14:paraId="05932949">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10.3投标（响应）报价低于采购项目最高限价65%的，即投标（响应）报价&lt;采购项目最高限价×65%；</w:t>
      </w:r>
    </w:p>
    <w:p w14:paraId="3BDD9C54">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10.4评审委员会基于专业判断，认为供应商报价过低，有可能影响产品质量或者不能诚信履约的其他情形。</w:t>
      </w:r>
    </w:p>
    <w:p w14:paraId="0C0018F3">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相关法律法规对供应商报价有规定的，从其规定。</w:t>
      </w:r>
    </w:p>
    <w:p w14:paraId="02C9ED6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四、无效报价的情形</w:t>
      </w:r>
    </w:p>
    <w:p w14:paraId="17154E7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color w:val="auto"/>
          <w:sz w:val="30"/>
          <w:szCs w:val="30"/>
          <w:highlight w:val="none"/>
        </w:rPr>
      </w:pPr>
      <w:r>
        <w:rPr>
          <w:rFonts w:hint="eastAsia" w:ascii="仿宋" w:hAnsi="仿宋" w:eastAsia="仿宋" w:cs="仿宋"/>
          <w:color w:val="auto"/>
          <w:sz w:val="24"/>
          <w:highlight w:val="none"/>
        </w:rPr>
        <w:t>供应商的响应文件未通过资格性、符合性审查的，不得参加谈判。</w:t>
      </w:r>
    </w:p>
    <w:p w14:paraId="6FC97A95">
      <w:pPr>
        <w:pStyle w:val="2"/>
        <w:bidi w:val="0"/>
        <w:rPr>
          <w:rFonts w:hint="eastAsia" w:ascii="仿宋" w:hAnsi="仿宋" w:eastAsia="仿宋" w:cs="仿宋"/>
          <w:b w:val="0"/>
          <w:color w:val="auto"/>
          <w:kern w:val="0"/>
          <w:sz w:val="30"/>
          <w:szCs w:val="30"/>
          <w:highlight w:val="none"/>
        </w:rPr>
      </w:pPr>
      <w:r>
        <w:rPr>
          <w:rFonts w:hint="eastAsia" w:ascii="仿宋" w:hAnsi="仿宋" w:eastAsia="仿宋" w:cs="仿宋"/>
          <w:b w:val="0"/>
          <w:color w:val="auto"/>
          <w:kern w:val="0"/>
          <w:sz w:val="30"/>
          <w:szCs w:val="30"/>
          <w:highlight w:val="none"/>
        </w:rPr>
        <w:br w:type="page"/>
      </w:r>
      <w:bookmarkStart w:id="42" w:name="_Toc5774"/>
      <w:r>
        <w:rPr>
          <w:rFonts w:hint="eastAsia" w:ascii="仿宋" w:hAnsi="仿宋" w:eastAsia="仿宋" w:cs="仿宋"/>
          <w:b/>
          <w:color w:val="auto"/>
          <w:kern w:val="2"/>
          <w:sz w:val="24"/>
          <w:szCs w:val="24"/>
          <w:highlight w:val="none"/>
          <w:lang w:val="en-US" w:eastAsia="zh-CN" w:bidi="ar-SA"/>
        </w:rPr>
        <w:t>第五部分  商务、技术要求</w:t>
      </w:r>
      <w:bookmarkEnd w:id="42"/>
    </w:p>
    <w:p w14:paraId="058842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一</w:t>
      </w:r>
      <w:r>
        <w:rPr>
          <w:rFonts w:hint="eastAsia" w:ascii="仿宋" w:hAnsi="仿宋" w:eastAsia="仿宋" w:cs="仿宋"/>
          <w:b/>
          <w:bCs/>
          <w:color w:val="auto"/>
          <w:kern w:val="0"/>
          <w:sz w:val="24"/>
          <w:highlight w:val="none"/>
        </w:rPr>
        <w:t>、商务要求</w:t>
      </w:r>
    </w:p>
    <w:p w14:paraId="56EA38AA">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1、合同履行期限</w:t>
      </w:r>
      <w:r>
        <w:rPr>
          <w:rFonts w:hint="eastAsia" w:ascii="仿宋" w:hAnsi="仿宋" w:eastAsia="仿宋" w:cs="仿宋"/>
          <w:b w:val="0"/>
          <w:bCs w:val="0"/>
          <w:color w:val="auto"/>
          <w:kern w:val="0"/>
          <w:sz w:val="24"/>
          <w:highlight w:val="none"/>
          <w:lang w:val="en-US" w:eastAsia="zh-CN"/>
        </w:rPr>
        <w:t>：激光直写微纳结构制备系统、双通道超稳激光锁频系统为合同签订之日起360日内；超低震动低温恒温系统为合同签订之日起180日内。</w:t>
      </w:r>
    </w:p>
    <w:p w14:paraId="29F9D89E">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3、交货地点</w:t>
      </w:r>
      <w:r>
        <w:rPr>
          <w:rFonts w:hint="eastAsia" w:ascii="仿宋" w:hAnsi="仿宋" w:eastAsia="仿宋" w:cs="仿宋"/>
          <w:b w:val="0"/>
          <w:bCs w:val="0"/>
          <w:color w:val="auto"/>
          <w:kern w:val="0"/>
          <w:sz w:val="24"/>
          <w:highlight w:val="none"/>
          <w:lang w:val="en-US" w:eastAsia="zh-CN"/>
        </w:rPr>
        <w:t>：山西大学指定地点。</w:t>
      </w:r>
    </w:p>
    <w:p w14:paraId="45401C24">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4、付款方式：</w:t>
      </w:r>
      <w:r>
        <w:rPr>
          <w:rFonts w:hint="eastAsia" w:ascii="仿宋" w:hAnsi="仿宋" w:eastAsia="仿宋" w:cs="仿宋"/>
          <w:b w:val="0"/>
          <w:bCs w:val="0"/>
          <w:color w:val="auto"/>
          <w:kern w:val="0"/>
          <w:sz w:val="24"/>
          <w:highlight w:val="none"/>
          <w:lang w:val="en-US" w:eastAsia="zh-CN"/>
        </w:rPr>
        <w:t>采购进口货物的，签订合同后供方应向需方提供货物进口装运单据，由需方审核装运单据无误后30日内向供方支付90%货款，需方签署质量验收报告之日起 30日内支付剩余10%货款。采购国产货物的，签订本合同后30日内，需方向供方预付合同金额的80%，经需方质量验收合格后30日内支付剩余货款（即合同总金额的20%）。</w:t>
      </w:r>
    </w:p>
    <w:p w14:paraId="19B77CF7">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5、履约保证金：</w:t>
      </w:r>
      <w:r>
        <w:rPr>
          <w:rFonts w:hint="eastAsia" w:ascii="仿宋" w:hAnsi="仿宋" w:eastAsia="仿宋" w:cs="仿宋"/>
          <w:b w:val="0"/>
          <w:bCs w:val="0"/>
          <w:color w:val="auto"/>
          <w:kern w:val="0"/>
          <w:sz w:val="24"/>
          <w:highlight w:val="none"/>
          <w:lang w:val="en-US" w:eastAsia="zh-CN"/>
        </w:rPr>
        <w:t>采购进口货物的，成交供应商签订合同前应向采购单位交付合同总金额3%作为合同履约保证金，项目验收合格一年后无质量问题无息退还。采购国产货物的，成交供应商签订合同前应向采购单位交付合同总金额5%作为合同履约保证金，项目验收合格一年后无质量问题无息退还。</w:t>
      </w:r>
    </w:p>
    <w:p w14:paraId="6C635EC8">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6、质量标准</w:t>
      </w:r>
      <w:r>
        <w:rPr>
          <w:rFonts w:hint="eastAsia" w:ascii="仿宋" w:hAnsi="仿宋" w:eastAsia="仿宋" w:cs="仿宋"/>
          <w:b w:val="0"/>
          <w:bCs w:val="0"/>
          <w:color w:val="auto"/>
          <w:kern w:val="0"/>
          <w:sz w:val="24"/>
          <w:highlight w:val="none"/>
          <w:lang w:val="en-US" w:eastAsia="zh-CN"/>
        </w:rPr>
        <w:t>：符合国家及行业相关质量标准并通过采购人验收。</w:t>
      </w:r>
    </w:p>
    <w:p w14:paraId="3BF5F3AF">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7、质保期</w:t>
      </w:r>
      <w:r>
        <w:rPr>
          <w:rFonts w:hint="eastAsia" w:ascii="仿宋" w:hAnsi="仿宋" w:eastAsia="仿宋" w:cs="仿宋"/>
          <w:b w:val="0"/>
          <w:bCs w:val="0"/>
          <w:color w:val="auto"/>
          <w:kern w:val="0"/>
          <w:sz w:val="24"/>
          <w:highlight w:val="none"/>
          <w:lang w:val="en-US" w:eastAsia="zh-CN"/>
        </w:rPr>
        <w:t>：均为安装验收合格后1年。</w:t>
      </w:r>
    </w:p>
    <w:p w14:paraId="4F4C2B0E">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8、验收方式及标准</w:t>
      </w:r>
      <w:r>
        <w:rPr>
          <w:rFonts w:hint="eastAsia" w:ascii="仿宋" w:hAnsi="仿宋" w:eastAsia="仿宋" w:cs="仿宋"/>
          <w:b w:val="0"/>
          <w:bCs w:val="0"/>
          <w:color w:val="auto"/>
          <w:kern w:val="0"/>
          <w:sz w:val="24"/>
          <w:highlight w:val="none"/>
          <w:lang w:val="en-US" w:eastAsia="zh-CN"/>
        </w:rPr>
        <w:t>：</w:t>
      </w:r>
    </w:p>
    <w:p w14:paraId="5974BDD0">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（1）供方提交的货物应符合合同中所记载的详细配置、技术参数及性能，并应附有此类货物完整、详细的技术资料和说明文件。</w:t>
      </w:r>
    </w:p>
    <w:p w14:paraId="454B099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（2）货物整体运行指标符合合同附件约定的内容并满足国家相关标准及行业规范。</w:t>
      </w:r>
    </w:p>
    <w:p w14:paraId="7794053D">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9、快递、包装要求：</w:t>
      </w:r>
      <w:r>
        <w:rPr>
          <w:rFonts w:hint="eastAsia" w:ascii="仿宋" w:hAnsi="仿宋" w:eastAsia="仿宋" w:cs="仿宋"/>
          <w:b w:val="0"/>
          <w:bCs w:val="0"/>
          <w:color w:val="auto"/>
          <w:kern w:val="0"/>
          <w:sz w:val="24"/>
          <w:highlight w:val="none"/>
          <w:lang w:val="en-US" w:eastAsia="zh-CN"/>
        </w:rPr>
        <w:t>严格遵循《中华人民共和国政府采购法》《关于进一步加强绿色包装政府采购管理的通知》《商品包装政府采购需求标准（试行）》《快递包装政府采购需求标准（试行）》等相关规定。</w:t>
      </w:r>
    </w:p>
    <w:p w14:paraId="09B21273">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10、服务要求：</w:t>
      </w:r>
    </w:p>
    <w:p w14:paraId="5440730C">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（1）供应商应向采购人提供相应免费培训，直至采购人相关操作人员完全熟练掌握。</w:t>
      </w:r>
    </w:p>
    <w:p w14:paraId="4D6E78A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 xml:space="preserve">（2）培训地点和具体时间由采购人与供应商协商指定。 </w:t>
      </w:r>
    </w:p>
    <w:p w14:paraId="5956E03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（3）需针对本项目制定详细的培训方案，包括培训计划、培训方式、培训内容、培训目标等内容。</w:t>
      </w:r>
    </w:p>
    <w:p w14:paraId="2D90DB98">
      <w:pPr>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br w:type="page"/>
      </w:r>
    </w:p>
    <w:p w14:paraId="5F0E86CE">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p>
    <w:p w14:paraId="3279A93C">
      <w:pPr>
        <w:numPr>
          <w:ilvl w:val="0"/>
          <w:numId w:val="0"/>
        </w:numPr>
        <w:snapToGrid w:val="0"/>
        <w:spacing w:line="360" w:lineRule="auto"/>
        <w:textAlignment w:val="baseline"/>
        <w:rPr>
          <w:rFonts w:hint="eastAsia" w:ascii="仿宋" w:hAnsi="仿宋" w:eastAsia="仿宋" w:cs="仿宋"/>
          <w:b/>
          <w:color w:val="auto"/>
          <w:kern w:val="0"/>
          <w:sz w:val="24"/>
          <w:highlight w:val="none"/>
          <w:lang w:eastAsia="zh-CN"/>
        </w:rPr>
      </w:pPr>
      <w:r>
        <w:rPr>
          <w:rFonts w:hint="eastAsia" w:ascii="仿宋" w:hAnsi="仿宋" w:eastAsia="仿宋" w:cs="仿宋"/>
          <w:b/>
          <w:bCs/>
          <w:color w:val="auto"/>
          <w:kern w:val="0"/>
          <w:sz w:val="24"/>
          <w:highlight w:val="none"/>
          <w:lang w:val="en-US" w:eastAsia="zh-CN"/>
        </w:rPr>
        <w:t>二、</w:t>
      </w:r>
      <w:r>
        <w:rPr>
          <w:rFonts w:hint="eastAsia" w:ascii="仿宋" w:hAnsi="仿宋" w:eastAsia="仿宋" w:cs="仿宋"/>
          <w:b/>
          <w:color w:val="auto"/>
          <w:kern w:val="0"/>
          <w:sz w:val="24"/>
          <w:highlight w:val="none"/>
        </w:rPr>
        <w:t>技术要求</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1431"/>
        <w:gridCol w:w="732"/>
        <w:gridCol w:w="1174"/>
        <w:gridCol w:w="4486"/>
        <w:gridCol w:w="661"/>
      </w:tblGrid>
      <w:tr w14:paraId="3325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dxa"/>
            <w:vAlign w:val="center"/>
          </w:tcPr>
          <w:p w14:paraId="30EE7DC9">
            <w:pPr>
              <w:widowControl/>
              <w:snapToGrid w:val="0"/>
              <w:spacing w:line="240" w:lineRule="atLeast"/>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序号</w:t>
            </w:r>
          </w:p>
        </w:tc>
        <w:tc>
          <w:tcPr>
            <w:tcW w:w="1431" w:type="dxa"/>
            <w:vAlign w:val="center"/>
          </w:tcPr>
          <w:p w14:paraId="485C5904">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品目（设备）名称</w:t>
            </w:r>
          </w:p>
        </w:tc>
        <w:tc>
          <w:tcPr>
            <w:tcW w:w="732" w:type="dxa"/>
            <w:vAlign w:val="center"/>
          </w:tcPr>
          <w:p w14:paraId="19CFD5DB">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数量</w:t>
            </w:r>
          </w:p>
        </w:tc>
        <w:tc>
          <w:tcPr>
            <w:tcW w:w="1174" w:type="dxa"/>
            <w:vAlign w:val="center"/>
          </w:tcPr>
          <w:p w14:paraId="554BFF82">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lang w:val="en-US" w:eastAsia="zh-CN"/>
              </w:rPr>
              <w:t>预算</w:t>
            </w:r>
            <w:r>
              <w:rPr>
                <w:rFonts w:hint="eastAsia" w:ascii="仿宋" w:hAnsi="仿宋" w:eastAsia="仿宋" w:cs="宋体"/>
                <w:sz w:val="24"/>
                <w:szCs w:val="24"/>
                <w:highlight w:val="none"/>
              </w:rPr>
              <w:t>单价（元）</w:t>
            </w:r>
          </w:p>
        </w:tc>
        <w:tc>
          <w:tcPr>
            <w:tcW w:w="4486" w:type="dxa"/>
            <w:vAlign w:val="center"/>
          </w:tcPr>
          <w:p w14:paraId="5F960CF8">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sz w:val="24"/>
                <w:szCs w:val="24"/>
                <w:highlight w:val="none"/>
              </w:rPr>
              <w:t>规格型号及配置技术参数</w:t>
            </w:r>
          </w:p>
        </w:tc>
        <w:tc>
          <w:tcPr>
            <w:tcW w:w="661" w:type="dxa"/>
            <w:vAlign w:val="center"/>
          </w:tcPr>
          <w:p w14:paraId="1A7C71C5">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备注</w:t>
            </w:r>
          </w:p>
        </w:tc>
      </w:tr>
      <w:tr w14:paraId="7D81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53" w:type="dxa"/>
            <w:vAlign w:val="center"/>
          </w:tcPr>
          <w:p w14:paraId="0CC06C37">
            <w:pPr>
              <w:widowControl/>
              <w:snapToGrid w:val="0"/>
              <w:spacing w:line="240" w:lineRule="atLeast"/>
              <w:jc w:val="center"/>
              <w:rPr>
                <w:rFonts w:hint="eastAsia" w:ascii="仿宋" w:hAnsi="仿宋" w:eastAsia="仿宋" w:cs="宋体"/>
                <w:sz w:val="24"/>
                <w:szCs w:val="24"/>
                <w:highlight w:val="none"/>
                <w:lang w:eastAsia="zh-CN"/>
              </w:rPr>
            </w:pPr>
            <w:r>
              <w:rPr>
                <w:rFonts w:hint="eastAsia" w:ascii="仿宋" w:hAnsi="仿宋" w:eastAsia="仿宋" w:cs="宋体"/>
                <w:sz w:val="24"/>
                <w:szCs w:val="24"/>
                <w:highlight w:val="none"/>
                <w:lang w:val="en-US" w:eastAsia="zh-CN"/>
              </w:rPr>
              <w:t>1</w:t>
            </w:r>
          </w:p>
        </w:tc>
        <w:tc>
          <w:tcPr>
            <w:tcW w:w="1431" w:type="dxa"/>
            <w:vAlign w:val="center"/>
          </w:tcPr>
          <w:p w14:paraId="594A257A">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b/>
                <w:bCs/>
                <w:sz w:val="24"/>
                <w:szCs w:val="24"/>
                <w:highlight w:val="none"/>
              </w:rPr>
              <w:t>※</w:t>
            </w:r>
            <w:r>
              <w:rPr>
                <w:rFonts w:hint="eastAsia" w:ascii="仿宋" w:hAnsi="仿宋" w:eastAsia="仿宋" w:cs="宋体"/>
                <w:sz w:val="24"/>
                <w:szCs w:val="24"/>
                <w:highlight w:val="none"/>
              </w:rPr>
              <w:t>激光直写微纳结构制备系统</w:t>
            </w:r>
          </w:p>
        </w:tc>
        <w:tc>
          <w:tcPr>
            <w:tcW w:w="732" w:type="dxa"/>
            <w:vAlign w:val="center"/>
          </w:tcPr>
          <w:p w14:paraId="1FAF4408">
            <w:pPr>
              <w:widowControl/>
              <w:snapToGrid w:val="0"/>
              <w:spacing w:line="240" w:lineRule="atLeast"/>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rPr>
              <w:t>1</w:t>
            </w:r>
            <w:r>
              <w:rPr>
                <w:rFonts w:hint="eastAsia" w:ascii="仿宋" w:hAnsi="仿宋" w:eastAsia="仿宋" w:cs="宋体"/>
                <w:sz w:val="24"/>
                <w:szCs w:val="24"/>
                <w:highlight w:val="none"/>
                <w:lang w:val="en-US" w:eastAsia="zh-CN"/>
              </w:rPr>
              <w:t>台</w:t>
            </w:r>
          </w:p>
        </w:tc>
        <w:tc>
          <w:tcPr>
            <w:tcW w:w="1174" w:type="dxa"/>
            <w:vAlign w:val="center"/>
          </w:tcPr>
          <w:p w14:paraId="683A86FE">
            <w:pPr>
              <w:widowControl/>
              <w:snapToGrid w:val="0"/>
              <w:spacing w:line="240" w:lineRule="atLeast"/>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rPr>
              <w:t>1600000</w:t>
            </w:r>
          </w:p>
        </w:tc>
        <w:tc>
          <w:tcPr>
            <w:tcW w:w="4486" w:type="dxa"/>
            <w:vAlign w:val="center"/>
          </w:tcPr>
          <w:p w14:paraId="62786E3A">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1.基板参数：</w:t>
            </w:r>
          </w:p>
          <w:p w14:paraId="056BC201">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★①最大基板尺寸：≥6″*6″；</w:t>
            </w:r>
          </w:p>
          <w:p w14:paraId="37679D06">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②最大曝光面积: ≥100 mm*100 mm；</w:t>
            </w:r>
          </w:p>
          <w:p w14:paraId="0986E4B2">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③最大基板厚度：≥10 mm</w:t>
            </w:r>
          </w:p>
          <w:p w14:paraId="7F70B933">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2.紫外曝光光源</w:t>
            </w:r>
          </w:p>
          <w:p w14:paraId="5F08186A">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★①i线LED或激光光源：中心波长365 nm或375nm；</w:t>
            </w:r>
          </w:p>
          <w:p w14:paraId="53CC2A63">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 xml:space="preserve"> ②输出功率：≥6 W；</w:t>
            </w:r>
          </w:p>
          <w:p w14:paraId="402F35F7">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 xml:space="preserve"> ③光源寿命：≥10000 小时</w:t>
            </w:r>
          </w:p>
          <w:p w14:paraId="3DAD8C5B">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★3.最小特征尺寸：≤0.6μm</w:t>
            </w:r>
          </w:p>
          <w:p w14:paraId="0405A9C9">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★4. 配置光学自动对焦系统：红光，光功率≥1mW</w:t>
            </w:r>
          </w:p>
        </w:tc>
        <w:tc>
          <w:tcPr>
            <w:tcW w:w="661" w:type="dxa"/>
            <w:vAlign w:val="center"/>
          </w:tcPr>
          <w:p w14:paraId="5C07F4C6">
            <w:pPr>
              <w:widowControl/>
              <w:snapToGrid w:val="0"/>
              <w:spacing w:line="240" w:lineRule="atLeast"/>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无</w:t>
            </w:r>
          </w:p>
        </w:tc>
      </w:tr>
      <w:tr w14:paraId="10F5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dxa"/>
            <w:vAlign w:val="center"/>
          </w:tcPr>
          <w:p w14:paraId="25A766A6">
            <w:pPr>
              <w:widowControl/>
              <w:snapToGrid w:val="0"/>
              <w:spacing w:line="240" w:lineRule="atLeast"/>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2</w:t>
            </w:r>
          </w:p>
        </w:tc>
        <w:tc>
          <w:tcPr>
            <w:tcW w:w="1431" w:type="dxa"/>
            <w:vAlign w:val="center"/>
          </w:tcPr>
          <w:p w14:paraId="24B0DFB2">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b w:val="0"/>
                <w:bCs w:val="0"/>
                <w:sz w:val="24"/>
                <w:szCs w:val="24"/>
                <w:highlight w:val="none"/>
              </w:rPr>
              <w:t>超低震动低温恒温系统</w:t>
            </w:r>
          </w:p>
        </w:tc>
        <w:tc>
          <w:tcPr>
            <w:tcW w:w="732" w:type="dxa"/>
            <w:vAlign w:val="center"/>
          </w:tcPr>
          <w:p w14:paraId="6C8C6547">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1</w:t>
            </w:r>
            <w:r>
              <w:rPr>
                <w:rFonts w:hint="eastAsia" w:ascii="仿宋" w:hAnsi="仿宋" w:eastAsia="仿宋" w:cs="宋体"/>
                <w:sz w:val="24"/>
                <w:szCs w:val="24"/>
                <w:highlight w:val="none"/>
                <w:lang w:val="en-US" w:eastAsia="zh-CN"/>
              </w:rPr>
              <w:t>套</w:t>
            </w:r>
          </w:p>
        </w:tc>
        <w:tc>
          <w:tcPr>
            <w:tcW w:w="1174" w:type="dxa"/>
            <w:vAlign w:val="center"/>
          </w:tcPr>
          <w:p w14:paraId="5E68EAA7">
            <w:pPr>
              <w:widowControl/>
              <w:snapToGrid w:val="0"/>
              <w:spacing w:line="240" w:lineRule="atLeast"/>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rPr>
              <w:t>1020000</w:t>
            </w:r>
          </w:p>
        </w:tc>
        <w:tc>
          <w:tcPr>
            <w:tcW w:w="4486" w:type="dxa"/>
            <w:vAlign w:val="center"/>
          </w:tcPr>
          <w:p w14:paraId="6E3327F3">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无液氦分体式超低震动设计，由显微低温恒温器与氦循环低温系统两部分组成，包含冷头悬浮减震机构、定制型盘管、多级热交换器、集成无油干泵和自恒压装置的循环气路、集成式机柜。配备2m*2m气浮型光学平台，四输入通道高精度温度控制器，防静电接线盒，集成螺杆调压组件和低温压缩机。</w:t>
            </w:r>
          </w:p>
          <w:p w14:paraId="36F32D87">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1.温度范围：3 K- 300 K (无负载）；</w:t>
            </w:r>
          </w:p>
          <w:p w14:paraId="29630227">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2.样品台低温震动水平：±5nm；</w:t>
            </w:r>
          </w:p>
          <w:p w14:paraId="1327A5A9">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3.工作距离：≤30mm；</w:t>
            </w:r>
          </w:p>
          <w:p w14:paraId="55D3761B">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4.温度稳定性：优于2 mK @ 4.5 K &amp; 20 mK @ 300 K；</w:t>
            </w:r>
          </w:p>
          <w:p w14:paraId="5EDDC8BC">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5.降温时间：从300 K降至 4.2 K≤ 3小时；</w:t>
            </w:r>
          </w:p>
          <w:p w14:paraId="24B8AA8C">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6.温度控制模式：低温温度计+低温加热器闭环控制样品台温度；</w:t>
            </w:r>
          </w:p>
          <w:p w14:paraId="77B3802F">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7.最低温区域尺寸：直径100 mm；</w:t>
            </w:r>
          </w:p>
          <w:p w14:paraId="719E12F6">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8.制冷功率：1.8 W @ 4.2 K；</w:t>
            </w:r>
          </w:p>
          <w:p w14:paraId="7843C099">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配件：</w:t>
            </w:r>
          </w:p>
          <w:p w14:paraId="381ECF5F">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1.定制低温原位加压真空腔体（区域尺寸：直径25mm，质量：≤300g）：包含真空罩和热屏，集成 4根螺杆，通过滑动密封可实现原位加压功能；</w:t>
            </w:r>
          </w:p>
          <w:p w14:paraId="5291EC83">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2.柔性无氧铜导热带：</w:t>
            </w:r>
          </w:p>
          <w:p w14:paraId="20667108">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①基板尺寸：25 mm × 25 mm；</w:t>
            </w:r>
          </w:p>
          <w:p w14:paraId="27F6C280">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②定标低温温度计1支；</w:t>
            </w:r>
          </w:p>
          <w:p w14:paraId="5889035F">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3.低温压电位移台（X和Y方向）：</w:t>
            </w:r>
          </w:p>
          <w:p w14:paraId="32979BC6">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①行程：6 mm；</w:t>
            </w:r>
          </w:p>
          <w:p w14:paraId="4C0C3109">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②最大承载速度：3 mm/s；</w:t>
            </w:r>
          </w:p>
          <w:p w14:paraId="6A452F3C">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③最大负载：500 g；</w:t>
            </w:r>
          </w:p>
          <w:p w14:paraId="71BA5C38">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④分辨率：150 nm；</w:t>
            </w:r>
          </w:p>
          <w:p w14:paraId="50AFE437">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4.低温压电位移台（Z方向）：</w:t>
            </w:r>
          </w:p>
          <w:p w14:paraId="7442F9C8">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①行程：6 mm；</w:t>
            </w:r>
          </w:p>
          <w:p w14:paraId="6D551722">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②最大承载速度：2 mm/s；</w:t>
            </w:r>
          </w:p>
          <w:p w14:paraId="3F894857">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③最大负载：300 g；</w:t>
            </w:r>
          </w:p>
          <w:p w14:paraId="4551D731">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④分辨率：150 nm；</w:t>
            </w:r>
          </w:p>
          <w:p w14:paraId="5CBDEF55">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5.低温压电位移台控制器：</w:t>
            </w:r>
          </w:p>
          <w:p w14:paraId="497ED5D3">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① 6 路输出控制；</w:t>
            </w:r>
          </w:p>
          <w:p w14:paraId="02DD699F">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②最高输出方波形电压200 V（输出电压可调）；</w:t>
            </w:r>
          </w:p>
          <w:p w14:paraId="3AF8A484">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③最高频率10 kHz（频率可调）；</w:t>
            </w:r>
          </w:p>
          <w:p w14:paraId="13C35FE0">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6.分体式水冷机：</w:t>
            </w:r>
          </w:p>
          <w:p w14:paraId="729BA1E2">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①分体制冷压缩机1台（制冷量：12 KW，流量：30 L/min）；</w:t>
            </w:r>
          </w:p>
          <w:p w14:paraId="4355B3EA">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②制冷室内循环水箱1套（容量：20 L）</w:t>
            </w:r>
          </w:p>
        </w:tc>
        <w:tc>
          <w:tcPr>
            <w:tcW w:w="661" w:type="dxa"/>
            <w:vAlign w:val="center"/>
          </w:tcPr>
          <w:p w14:paraId="1B39BD13">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lang w:val="en-US" w:eastAsia="zh-CN"/>
              </w:rPr>
              <w:t>无</w:t>
            </w:r>
          </w:p>
        </w:tc>
      </w:tr>
      <w:tr w14:paraId="510A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3" w:type="dxa"/>
            <w:vAlign w:val="center"/>
          </w:tcPr>
          <w:p w14:paraId="08F86EC8">
            <w:pPr>
              <w:widowControl/>
              <w:snapToGrid w:val="0"/>
              <w:spacing w:line="240" w:lineRule="atLeast"/>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lang w:val="en-US" w:eastAsia="zh-CN"/>
              </w:rPr>
              <w:t>3</w:t>
            </w:r>
          </w:p>
        </w:tc>
        <w:tc>
          <w:tcPr>
            <w:tcW w:w="1431" w:type="dxa"/>
            <w:vAlign w:val="center"/>
          </w:tcPr>
          <w:p w14:paraId="5D192B1E">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rPr>
              <w:t>双通道超稳激光锁频系统</w:t>
            </w:r>
          </w:p>
        </w:tc>
        <w:tc>
          <w:tcPr>
            <w:tcW w:w="732" w:type="dxa"/>
            <w:vAlign w:val="center"/>
          </w:tcPr>
          <w:p w14:paraId="6681C9EB">
            <w:pPr>
              <w:widowControl/>
              <w:snapToGrid w:val="0"/>
              <w:spacing w:line="240" w:lineRule="atLeast"/>
              <w:jc w:val="center"/>
              <w:rPr>
                <w:rFonts w:hint="eastAsia" w:ascii="仿宋" w:hAnsi="仿宋" w:eastAsia="仿宋" w:cs="宋体"/>
                <w:sz w:val="24"/>
                <w:szCs w:val="24"/>
                <w:highlight w:val="none"/>
                <w:lang w:val="en-US" w:eastAsia="zh-CN"/>
              </w:rPr>
            </w:pPr>
            <w:r>
              <w:rPr>
                <w:rFonts w:hint="eastAsia" w:ascii="仿宋" w:hAnsi="仿宋" w:eastAsia="仿宋" w:cs="宋体"/>
                <w:sz w:val="24"/>
                <w:szCs w:val="24"/>
                <w:highlight w:val="none"/>
              </w:rPr>
              <w:t>1</w:t>
            </w:r>
            <w:r>
              <w:rPr>
                <w:rFonts w:hint="eastAsia" w:ascii="仿宋" w:hAnsi="仿宋" w:eastAsia="仿宋" w:cs="宋体"/>
                <w:sz w:val="24"/>
                <w:szCs w:val="24"/>
                <w:highlight w:val="none"/>
                <w:lang w:val="en-US" w:eastAsia="zh-CN"/>
              </w:rPr>
              <w:t>台</w:t>
            </w:r>
          </w:p>
        </w:tc>
        <w:tc>
          <w:tcPr>
            <w:tcW w:w="1174" w:type="dxa"/>
            <w:vAlign w:val="center"/>
          </w:tcPr>
          <w:p w14:paraId="542BF0F3">
            <w:pPr>
              <w:widowControl/>
              <w:snapToGrid w:val="0"/>
              <w:spacing w:line="240" w:lineRule="atLeast"/>
              <w:jc w:val="center"/>
              <w:rPr>
                <w:rFonts w:hint="default" w:ascii="仿宋" w:hAnsi="仿宋" w:eastAsia="仿宋" w:cs="宋体"/>
                <w:sz w:val="24"/>
                <w:szCs w:val="24"/>
                <w:highlight w:val="none"/>
                <w:lang w:val="en-US" w:eastAsia="zh-CN"/>
              </w:rPr>
            </w:pPr>
            <w:r>
              <w:rPr>
                <w:rFonts w:hint="eastAsia" w:ascii="仿宋" w:hAnsi="仿宋" w:eastAsia="仿宋" w:cs="宋体"/>
                <w:sz w:val="24"/>
                <w:szCs w:val="24"/>
                <w:highlight w:val="none"/>
              </w:rPr>
              <w:t>820000</w:t>
            </w:r>
          </w:p>
        </w:tc>
        <w:tc>
          <w:tcPr>
            <w:tcW w:w="4486" w:type="dxa"/>
            <w:vAlign w:val="center"/>
          </w:tcPr>
          <w:p w14:paraId="0195F0A9">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1. 工作波长：通道一：852nm，通道二960&amp;1020nm；</w:t>
            </w:r>
          </w:p>
          <w:p w14:paraId="13AC41C9">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2. 包含用于稳频的超稳腔腔体与腔镜；通道一腔镜：780nm-852nm,在 820nm 处镀膜反射率≥ 99.994%，精细度≥ 50,000; 通道二腔镜： 960nm-1020nm, 在960nm&amp;1020nm 处，镀膜反射率≥ 99.994%，精细度≥ 50,000;超低膨胀腔体长度： 50mm,自由光谱程 3GHz;</w:t>
            </w:r>
          </w:p>
          <w:p w14:paraId="105819E9">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3. 锁频后线宽：≤ 5Hz；</w:t>
            </w:r>
          </w:p>
          <w:p w14:paraId="324CE23E">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4. 中心频率漂移：≤ 30kHz／天；</w:t>
            </w:r>
          </w:p>
          <w:p w14:paraId="33C5C0B2">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5. 包含用于放置超稳腔的真空室；真空室内温度稳定度：峰峰值波动优于 2mK/小时,标准差优于3mK/3小时;真空室真空度：优于 1*l0</w:t>
            </w:r>
            <w:r>
              <w:rPr>
                <w:rFonts w:hint="eastAsia" w:ascii="仿宋" w:hAnsi="仿宋" w:eastAsia="仿宋" w:cs="宋体"/>
                <w:sz w:val="24"/>
                <w:szCs w:val="24"/>
                <w:highlight w:val="none"/>
                <w:vertAlign w:val="superscript"/>
              </w:rPr>
              <w:t>-6</w:t>
            </w:r>
            <w:r>
              <w:rPr>
                <w:rFonts w:hint="eastAsia" w:ascii="仿宋" w:hAnsi="仿宋" w:eastAsia="仿宋" w:cs="宋体"/>
                <w:sz w:val="24"/>
                <w:szCs w:val="24"/>
                <w:highlight w:val="none"/>
              </w:rPr>
              <w:t xml:space="preserve"> mbar；</w:t>
            </w:r>
          </w:p>
          <w:p w14:paraId="31B34D27">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6. 包含一块光学平板，一个被动隔声罩，包含一个主动隔振平台，三轴振动隔离度:优于-40dB@10Hz；</w:t>
            </w:r>
          </w:p>
          <w:p w14:paraId="3D05EEBC">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7. 包含 4 套 PDH 光路与光电模块，通道一：锁定 1 路 820nm,通道二：锁定 1 路 960nm 和 2 路 1020nm，光电模块包括有光隔离器、空间电光调制器，调制频率25MHz；</w:t>
            </w:r>
          </w:p>
          <w:p w14:paraId="1A3AF0B3">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8. 包含 4 套 PDH调制解调模块、激光锁频伺服及其他配套的电子学模块，调制解调模块调制频率0-100MHz，激光锁频伺服包括模拟与数字操作，模拟伺服开环带宽36MHz，数字伺服开环带宽2MHz；</w:t>
            </w:r>
          </w:p>
          <w:p w14:paraId="3946CB53">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9. 包含精细度测量(测量方法:腔衰荡法测量)和腔体零膨胀点测量，精度士0.5度；</w:t>
            </w:r>
          </w:p>
          <w:p w14:paraId="088E5E9E">
            <w:pPr>
              <w:widowControl/>
              <w:snapToGrid w:val="0"/>
              <w:spacing w:line="240" w:lineRule="atLeast"/>
              <w:jc w:val="left"/>
              <w:rPr>
                <w:rFonts w:hint="eastAsia" w:ascii="仿宋" w:hAnsi="仿宋" w:eastAsia="仿宋" w:cs="宋体"/>
                <w:sz w:val="24"/>
                <w:szCs w:val="24"/>
                <w:highlight w:val="none"/>
              </w:rPr>
            </w:pPr>
            <w:r>
              <w:rPr>
                <w:rFonts w:hint="eastAsia" w:ascii="仿宋" w:hAnsi="仿宋" w:eastAsia="仿宋" w:cs="宋体"/>
                <w:sz w:val="24"/>
                <w:szCs w:val="24"/>
                <w:highlight w:val="none"/>
              </w:rPr>
              <w:t>10. 包含拍频测量，用于测量线宽以及长飘。</w:t>
            </w:r>
          </w:p>
        </w:tc>
        <w:tc>
          <w:tcPr>
            <w:tcW w:w="661" w:type="dxa"/>
            <w:vAlign w:val="center"/>
          </w:tcPr>
          <w:p w14:paraId="103D8B3A">
            <w:pPr>
              <w:widowControl/>
              <w:snapToGrid w:val="0"/>
              <w:spacing w:line="240" w:lineRule="atLeast"/>
              <w:jc w:val="center"/>
              <w:rPr>
                <w:rFonts w:hint="eastAsia" w:ascii="仿宋" w:hAnsi="仿宋" w:eastAsia="仿宋" w:cs="宋体"/>
                <w:sz w:val="24"/>
                <w:szCs w:val="24"/>
                <w:highlight w:val="none"/>
              </w:rPr>
            </w:pPr>
            <w:r>
              <w:rPr>
                <w:rFonts w:hint="eastAsia" w:ascii="仿宋" w:hAnsi="仿宋" w:eastAsia="仿宋" w:cs="宋体"/>
                <w:sz w:val="24"/>
                <w:szCs w:val="24"/>
                <w:highlight w:val="none"/>
                <w:lang w:val="en-US" w:eastAsia="zh-CN"/>
              </w:rPr>
              <w:t>无</w:t>
            </w:r>
          </w:p>
        </w:tc>
      </w:tr>
    </w:tbl>
    <w:p w14:paraId="0AF6F7B5">
      <w:pPr>
        <w:rPr>
          <w:rFonts w:hint="eastAsia" w:ascii="仿宋" w:hAnsi="仿宋" w:eastAsia="仿宋" w:cs="仿宋"/>
          <w:b w:val="0"/>
          <w:bCs w:val="0"/>
          <w:color w:val="auto"/>
          <w:kern w:val="0"/>
          <w:sz w:val="24"/>
          <w:szCs w:val="20"/>
          <w:highlight w:val="none"/>
          <w:lang w:val="en-US" w:eastAsia="zh-CN" w:bidi="ar-SA"/>
        </w:rPr>
      </w:pPr>
    </w:p>
    <w:p w14:paraId="26D7101E">
      <w:pPr>
        <w:widowControl/>
        <w:snapToGrid w:val="0"/>
        <w:spacing w:line="360" w:lineRule="auto"/>
        <w:ind w:firstLine="442" w:firstLineChars="200"/>
        <w:jc w:val="left"/>
        <w:textAlignment w:val="bottom"/>
        <w:rPr>
          <w:rFonts w:hint="eastAsia" w:ascii="仿宋" w:hAnsi="仿宋" w:eastAsia="仿宋" w:cs="仿宋"/>
          <w:b/>
          <w:bCs w:val="0"/>
          <w:color w:val="auto"/>
          <w:sz w:val="22"/>
          <w:szCs w:val="22"/>
          <w:highlight w:val="none"/>
          <w:lang w:val="en-US" w:eastAsia="zh-CN"/>
        </w:rPr>
      </w:pPr>
      <w:r>
        <w:rPr>
          <w:rFonts w:hint="eastAsia" w:ascii="仿宋" w:hAnsi="仿宋" w:eastAsia="仿宋" w:cs="仿宋"/>
          <w:b/>
          <w:bCs w:val="0"/>
          <w:color w:val="auto"/>
          <w:sz w:val="22"/>
          <w:szCs w:val="22"/>
          <w:highlight w:val="none"/>
          <w:lang w:val="en-US" w:eastAsia="zh-CN"/>
        </w:rPr>
        <w:t>注：</w:t>
      </w:r>
    </w:p>
    <w:p w14:paraId="2D1695A5">
      <w:pPr>
        <w:widowControl/>
        <w:snapToGrid w:val="0"/>
        <w:spacing w:line="360" w:lineRule="auto"/>
        <w:ind w:firstLine="442" w:firstLineChars="200"/>
        <w:jc w:val="left"/>
        <w:textAlignment w:val="bottom"/>
        <w:rPr>
          <w:rFonts w:hint="eastAsia" w:ascii="仿宋" w:hAnsi="仿宋" w:eastAsia="仿宋" w:cs="仿宋"/>
          <w:b/>
          <w:bCs w:val="0"/>
          <w:color w:val="auto"/>
          <w:sz w:val="22"/>
          <w:szCs w:val="22"/>
          <w:highlight w:val="none"/>
          <w:lang w:val="en-US" w:eastAsia="zh-CN"/>
        </w:rPr>
      </w:pPr>
      <w:bookmarkStart w:id="43" w:name="_Toc466533588"/>
      <w:r>
        <w:rPr>
          <w:rFonts w:hint="eastAsia" w:ascii="仿宋" w:hAnsi="仿宋" w:eastAsia="仿宋" w:cs="仿宋"/>
          <w:b/>
          <w:bCs w:val="0"/>
          <w:color w:val="auto"/>
          <w:sz w:val="22"/>
          <w:szCs w:val="22"/>
          <w:highlight w:val="none"/>
          <w:lang w:val="en-US" w:eastAsia="zh-CN"/>
        </w:rPr>
        <w:t>1、以上数据均为参数，如出现品牌、型号等排斥潜在供应商信息不得作为排斥供应商的理由，应采用同等性能或以上性能的产品。</w:t>
      </w:r>
    </w:p>
    <w:p w14:paraId="74E60FEC">
      <w:pPr>
        <w:widowControl/>
        <w:snapToGrid w:val="0"/>
        <w:spacing w:line="360" w:lineRule="auto"/>
        <w:ind w:firstLine="442" w:firstLineChars="200"/>
        <w:jc w:val="left"/>
        <w:textAlignment w:val="bottom"/>
        <w:rPr>
          <w:rFonts w:hint="eastAsia" w:ascii="仿宋" w:hAnsi="仿宋" w:eastAsia="仿宋" w:cs="仿宋"/>
          <w:b/>
          <w:bCs w:val="0"/>
          <w:color w:val="auto"/>
          <w:sz w:val="22"/>
          <w:szCs w:val="22"/>
          <w:highlight w:val="none"/>
          <w:lang w:val="en-US" w:eastAsia="zh-CN"/>
        </w:rPr>
      </w:pPr>
      <w:r>
        <w:rPr>
          <w:rFonts w:hint="eastAsia" w:ascii="仿宋" w:hAnsi="仿宋" w:eastAsia="仿宋" w:cs="仿宋"/>
          <w:b/>
          <w:bCs w:val="0"/>
          <w:color w:val="auto"/>
          <w:sz w:val="22"/>
          <w:szCs w:val="22"/>
          <w:highlight w:val="none"/>
          <w:lang w:val="en-US" w:eastAsia="zh-CN"/>
        </w:rPr>
        <w:t>2、货物名称前标注‘※’的产品为核心产品，所有核心产品品牌完全相同的，按一家供应商计算；其中标注‘★’的技术指标为主要技术指标（当某一层次的条款名称前加有“★”号时，应理解为名称下的各层次条款均为带“★”号的条款），须完全响应且提供相应证明材料，证明材料包括但不限于所投产品技术指标的官网链接/功能截图/产品彩页/详细的技术说明文件/运行性能的详细描述文件/第三方机构检验报告等，否则导致投标无效。</w:t>
      </w:r>
    </w:p>
    <w:p w14:paraId="443A1F18">
      <w:pPr>
        <w:widowControl/>
        <w:snapToGrid w:val="0"/>
        <w:spacing w:line="360" w:lineRule="auto"/>
        <w:ind w:firstLine="442" w:firstLineChars="200"/>
        <w:jc w:val="left"/>
        <w:textAlignment w:val="bottom"/>
        <w:rPr>
          <w:rFonts w:hint="eastAsia" w:ascii="仿宋" w:hAnsi="仿宋" w:eastAsia="仿宋" w:cs="仿宋"/>
          <w:b/>
          <w:bCs w:val="0"/>
          <w:color w:val="auto"/>
          <w:sz w:val="22"/>
          <w:szCs w:val="22"/>
          <w:highlight w:val="none"/>
          <w:lang w:val="en-US" w:eastAsia="zh-CN"/>
        </w:rPr>
      </w:pPr>
      <w:r>
        <w:rPr>
          <w:rFonts w:hint="eastAsia" w:ascii="仿宋" w:hAnsi="仿宋" w:eastAsia="仿宋" w:cs="仿宋"/>
          <w:b/>
          <w:bCs w:val="0"/>
          <w:color w:val="auto"/>
          <w:sz w:val="22"/>
          <w:szCs w:val="22"/>
          <w:highlight w:val="none"/>
          <w:lang w:val="en-US" w:eastAsia="zh-CN"/>
        </w:rPr>
        <w:t>3、证明材料要求： 响应★号技术指标时需提供证明材料，证明材料包括但不限于所投产品技术指标的官网链接/功能截图/产品彩页/详细的技术说明文件/运行性能的详细描述文件/第三方机构检验报告等，上述材料需加盖供应商公章。</w:t>
      </w:r>
    </w:p>
    <w:p w14:paraId="3639E11C">
      <w:pPr>
        <w:numPr>
          <w:ilvl w:val="0"/>
          <w:numId w:val="0"/>
        </w:numPr>
        <w:rPr>
          <w:rFonts w:hint="default" w:ascii="宋体" w:hAnsi="宋体" w:cs="宋体"/>
          <w:b w:val="0"/>
          <w:bCs w:val="0"/>
          <w:color w:val="000000"/>
          <w:kern w:val="0"/>
          <w:sz w:val="28"/>
          <w:szCs w:val="28"/>
          <w:highlight w:val="none"/>
          <w:vertAlign w:val="baseline"/>
          <w:lang w:val="en-US" w:eastAsia="zh-CN" w:bidi="ar-SA"/>
        </w:rPr>
      </w:pPr>
    </w:p>
    <w:p w14:paraId="607F7340">
      <w:pPr>
        <w:keepNext w:val="0"/>
        <w:keepLines w:val="0"/>
        <w:pageBreakBefore w:val="0"/>
        <w:widowControl w:val="0"/>
        <w:kinsoku/>
        <w:wordWrap/>
        <w:overflowPunct/>
        <w:topLinePunct w:val="0"/>
        <w:autoSpaceDE/>
        <w:autoSpaceDN/>
        <w:bidi w:val="0"/>
        <w:adjustRightInd/>
        <w:snapToGrid/>
        <w:spacing w:line="360" w:lineRule="auto"/>
        <w:ind w:firstLine="720" w:firstLineChars="200"/>
        <w:jc w:val="left"/>
        <w:textAlignment w:val="auto"/>
        <w:rPr>
          <w:rFonts w:hint="eastAsia" w:ascii="仿宋" w:hAnsi="仿宋" w:eastAsia="仿宋" w:cs="仿宋"/>
          <w:color w:val="auto"/>
          <w:sz w:val="36"/>
          <w:szCs w:val="36"/>
          <w:highlight w:val="none"/>
        </w:rPr>
      </w:pPr>
    </w:p>
    <w:p w14:paraId="359F3B72">
      <w:pPr>
        <w:keepNext w:val="0"/>
        <w:keepLines w:val="0"/>
        <w:pageBreakBefore w:val="0"/>
        <w:widowControl w:val="0"/>
        <w:kinsoku/>
        <w:wordWrap/>
        <w:overflowPunct/>
        <w:topLinePunct w:val="0"/>
        <w:autoSpaceDE/>
        <w:autoSpaceDN/>
        <w:bidi w:val="0"/>
        <w:adjustRightInd/>
        <w:snapToGrid/>
        <w:spacing w:line="360" w:lineRule="auto"/>
        <w:ind w:firstLine="720" w:firstLineChars="200"/>
        <w:jc w:val="left"/>
        <w:textAlignment w:val="auto"/>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br w:type="page"/>
      </w:r>
    </w:p>
    <w:p w14:paraId="5D0B0B48">
      <w:pPr>
        <w:pStyle w:val="6"/>
        <w:rPr>
          <w:rFonts w:hint="eastAsia" w:ascii="仿宋" w:hAnsi="仿宋" w:eastAsia="仿宋" w:cs="仿宋"/>
          <w:color w:val="auto"/>
          <w:sz w:val="36"/>
          <w:szCs w:val="36"/>
          <w:highlight w:val="none"/>
        </w:rPr>
      </w:pPr>
    </w:p>
    <w:p w14:paraId="604EA721">
      <w:pPr>
        <w:rPr>
          <w:rFonts w:hint="eastAsia" w:ascii="仿宋" w:hAnsi="仿宋" w:eastAsia="仿宋" w:cs="仿宋"/>
          <w:color w:val="auto"/>
          <w:sz w:val="36"/>
          <w:szCs w:val="36"/>
          <w:highlight w:val="none"/>
        </w:rPr>
      </w:pPr>
    </w:p>
    <w:p w14:paraId="5A01E429">
      <w:pPr>
        <w:pStyle w:val="6"/>
        <w:rPr>
          <w:rFonts w:hint="eastAsia" w:ascii="仿宋" w:hAnsi="仿宋" w:eastAsia="仿宋" w:cs="仿宋"/>
          <w:color w:val="auto"/>
          <w:sz w:val="36"/>
          <w:szCs w:val="36"/>
          <w:highlight w:val="none"/>
        </w:rPr>
      </w:pPr>
    </w:p>
    <w:p w14:paraId="1F9309AE">
      <w:pPr>
        <w:rPr>
          <w:rFonts w:hint="eastAsia" w:ascii="仿宋" w:hAnsi="仿宋" w:eastAsia="仿宋" w:cs="仿宋"/>
          <w:color w:val="auto"/>
          <w:sz w:val="36"/>
          <w:szCs w:val="36"/>
          <w:highlight w:val="none"/>
        </w:rPr>
      </w:pPr>
    </w:p>
    <w:p w14:paraId="185E04AB">
      <w:pPr>
        <w:pStyle w:val="6"/>
        <w:rPr>
          <w:rFonts w:hint="eastAsia" w:ascii="仿宋" w:hAnsi="仿宋" w:eastAsia="仿宋" w:cs="仿宋"/>
          <w:color w:val="auto"/>
          <w:sz w:val="36"/>
          <w:szCs w:val="36"/>
          <w:highlight w:val="none"/>
        </w:rPr>
      </w:pPr>
    </w:p>
    <w:p w14:paraId="36D493D8">
      <w:pPr>
        <w:rPr>
          <w:rFonts w:hint="eastAsia" w:ascii="仿宋" w:hAnsi="仿宋" w:eastAsia="仿宋" w:cs="仿宋"/>
          <w:color w:val="auto"/>
          <w:sz w:val="36"/>
          <w:szCs w:val="36"/>
          <w:highlight w:val="none"/>
        </w:rPr>
      </w:pPr>
    </w:p>
    <w:p w14:paraId="5BBAA2B3">
      <w:pPr>
        <w:pStyle w:val="6"/>
        <w:rPr>
          <w:rFonts w:hint="eastAsia" w:ascii="仿宋" w:hAnsi="仿宋" w:eastAsia="仿宋" w:cs="仿宋"/>
          <w:color w:val="auto"/>
          <w:highlight w:val="none"/>
        </w:rPr>
      </w:pPr>
    </w:p>
    <w:p w14:paraId="3B518400">
      <w:pPr>
        <w:pStyle w:val="6"/>
        <w:rPr>
          <w:rFonts w:hint="eastAsia" w:ascii="仿宋" w:hAnsi="仿宋" w:eastAsia="仿宋" w:cs="仿宋"/>
          <w:color w:val="auto"/>
          <w:sz w:val="44"/>
          <w:szCs w:val="44"/>
          <w:highlight w:val="none"/>
        </w:rPr>
      </w:pPr>
    </w:p>
    <w:p w14:paraId="5FA1D455">
      <w:pPr>
        <w:rPr>
          <w:rFonts w:hint="eastAsia" w:ascii="仿宋" w:hAnsi="仿宋" w:eastAsia="仿宋" w:cs="仿宋"/>
          <w:color w:val="auto"/>
          <w:sz w:val="24"/>
          <w:szCs w:val="32"/>
          <w:highlight w:val="none"/>
        </w:rPr>
      </w:pPr>
    </w:p>
    <w:bookmarkEnd w:id="43"/>
    <w:p w14:paraId="6707B035">
      <w:pPr>
        <w:pStyle w:val="2"/>
        <w:bidi w:val="0"/>
        <w:rPr>
          <w:rFonts w:hint="eastAsia"/>
          <w:color w:val="auto"/>
          <w:sz w:val="36"/>
          <w:szCs w:val="52"/>
          <w:highlight w:val="none"/>
          <w:lang w:val="en-US" w:eastAsia="zh-CN"/>
        </w:rPr>
      </w:pPr>
      <w:bookmarkStart w:id="44" w:name="_Toc3514"/>
      <w:r>
        <w:rPr>
          <w:rFonts w:hint="eastAsia"/>
          <w:color w:val="auto"/>
          <w:sz w:val="36"/>
          <w:szCs w:val="52"/>
          <w:highlight w:val="none"/>
          <w:lang w:val="en-US" w:eastAsia="zh-CN"/>
        </w:rPr>
        <w:t>第六部分  政府采购合同</w:t>
      </w:r>
      <w:bookmarkEnd w:id="44"/>
    </w:p>
    <w:p w14:paraId="4C9AE7F5">
      <w:pPr>
        <w:snapToGrid w:val="0"/>
        <w:spacing w:line="360" w:lineRule="auto"/>
        <w:ind w:firstLine="723" w:firstLineChars="200"/>
        <w:jc w:val="center"/>
        <w:textAlignment w:val="baseline"/>
        <w:rPr>
          <w:rFonts w:hint="eastAsia" w:ascii="宋体" w:hAnsi="宋体" w:eastAsia="宋体" w:cs="宋体"/>
          <w:color w:val="auto"/>
          <w:kern w:val="0"/>
          <w:sz w:val="24"/>
          <w:highlight w:val="none"/>
        </w:rPr>
      </w:pPr>
      <w:r>
        <w:rPr>
          <w:rFonts w:hint="eastAsia" w:ascii="仿宋" w:hAnsi="仿宋" w:eastAsia="仿宋" w:cs="仿宋"/>
          <w:b/>
          <w:bCs/>
          <w:color w:val="auto"/>
          <w:sz w:val="36"/>
          <w:szCs w:val="36"/>
          <w:highlight w:val="none"/>
        </w:rPr>
        <w:br w:type="page"/>
      </w:r>
    </w:p>
    <w:p w14:paraId="5F03AA51">
      <w:pPr>
        <w:wordWrap w:val="0"/>
        <w:jc w:val="center"/>
        <w:rPr>
          <w:rFonts w:hint="eastAsia" w:ascii="仿宋" w:hAnsi="仿宋" w:eastAsia="仿宋" w:cs="仿宋"/>
          <w:b/>
          <w:bCs/>
          <w:spacing w:val="20"/>
          <w:sz w:val="36"/>
          <w:szCs w:val="36"/>
          <w:highlight w:val="none"/>
          <w:lang w:eastAsia="zh-CN"/>
        </w:rPr>
      </w:pPr>
      <w:r>
        <w:rPr>
          <w:rFonts w:hint="eastAsia" w:ascii="仿宋" w:hAnsi="仿宋" w:eastAsia="仿宋" w:cs="仿宋"/>
          <w:b/>
          <w:bCs/>
          <w:spacing w:val="20"/>
          <w:sz w:val="36"/>
          <w:szCs w:val="36"/>
          <w:highlight w:val="none"/>
          <w:lang w:eastAsia="zh-CN"/>
        </w:rPr>
        <w:t>政府采购合同</w:t>
      </w:r>
    </w:p>
    <w:p w14:paraId="2AA9D512">
      <w:pPr>
        <w:wordWrap w:val="0"/>
        <w:jc w:val="center"/>
        <w:rPr>
          <w:rFonts w:hint="eastAsia" w:ascii="仿宋" w:hAnsi="仿宋" w:eastAsia="仿宋" w:cs="仿宋"/>
          <w:highlight w:val="none"/>
          <w:lang w:eastAsia="zh-CN"/>
        </w:rPr>
      </w:pPr>
    </w:p>
    <w:p w14:paraId="505FDFBE">
      <w:pPr>
        <w:spacing w:line="480" w:lineRule="exact"/>
        <w:ind w:firstLine="480" w:firstLineChars="200"/>
        <w:rPr>
          <w:rFonts w:hint="eastAsia" w:ascii="仿宋" w:hAnsi="仿宋" w:eastAsia="仿宋" w:cs="仿宋"/>
          <w:b/>
          <w:sz w:val="24"/>
          <w:highlight w:val="none"/>
          <w:lang w:eastAsia="zh-CN"/>
        </w:rPr>
      </w:pPr>
      <w:r>
        <w:rPr>
          <w:rFonts w:hint="eastAsia" w:ascii="仿宋" w:hAnsi="仿宋" w:eastAsia="仿宋" w:cs="仿宋"/>
          <w:sz w:val="24"/>
          <w:highlight w:val="none"/>
          <w:lang w:eastAsia="zh-CN"/>
        </w:rPr>
        <w:t xml:space="preserve">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lang w:eastAsia="zh-CN"/>
        </w:rPr>
        <w:t xml:space="preserve">   </w:t>
      </w:r>
      <w:r>
        <w:rPr>
          <w:rFonts w:hint="eastAsia" w:ascii="仿宋" w:hAnsi="仿宋" w:eastAsia="仿宋" w:cs="仿宋"/>
          <w:b/>
          <w:sz w:val="24"/>
          <w:highlight w:val="none"/>
          <w:lang w:eastAsia="zh-CN"/>
        </w:rPr>
        <w:t>采购计划文号：ZFCG-149900-2026-3-035173</w:t>
      </w:r>
    </w:p>
    <w:p w14:paraId="09174B73">
      <w:pPr>
        <w:spacing w:line="360" w:lineRule="auto"/>
        <w:ind w:firstLine="472" w:firstLineChars="196"/>
        <w:rPr>
          <w:rFonts w:hint="eastAsia" w:ascii="仿宋" w:hAnsi="仿宋" w:eastAsia="仿宋" w:cs="仿宋"/>
          <w:b/>
          <w:sz w:val="24"/>
          <w:highlight w:val="none"/>
          <w:u w:val="single"/>
          <w:lang w:eastAsia="zh-CN"/>
        </w:rPr>
      </w:pPr>
      <w:r>
        <w:rPr>
          <w:rFonts w:hint="eastAsia" w:ascii="仿宋" w:hAnsi="仿宋" w:eastAsia="仿宋" w:cs="仿宋"/>
          <w:b/>
          <w:sz w:val="24"/>
          <w:highlight w:val="none"/>
          <w:lang w:eastAsia="zh-CN"/>
        </w:rPr>
        <w:t>需方：</w:t>
      </w:r>
      <w:r>
        <w:rPr>
          <w:rFonts w:hint="eastAsia" w:ascii="仿宋" w:hAnsi="仿宋" w:eastAsia="仿宋" w:cs="仿宋"/>
          <w:b/>
          <w:sz w:val="24"/>
          <w:highlight w:val="none"/>
          <w:u w:val="single"/>
          <w:lang w:eastAsia="zh-CN"/>
        </w:rPr>
        <w:t xml:space="preserve"> 山西大学                    </w:t>
      </w:r>
    </w:p>
    <w:p w14:paraId="5DB642EF">
      <w:pPr>
        <w:spacing w:line="360" w:lineRule="auto"/>
        <w:ind w:firstLine="472" w:firstLineChars="196"/>
        <w:rPr>
          <w:rFonts w:hint="eastAsia" w:ascii="仿宋" w:hAnsi="仿宋" w:eastAsia="仿宋" w:cs="仿宋"/>
          <w:b/>
          <w:sz w:val="24"/>
          <w:highlight w:val="none"/>
          <w:u w:val="single"/>
          <w:lang w:eastAsia="zh-CN"/>
        </w:rPr>
      </w:pPr>
      <w:r>
        <w:rPr>
          <w:rFonts w:hint="eastAsia" w:ascii="仿宋" w:hAnsi="仿宋" w:eastAsia="仿宋" w:cs="仿宋"/>
          <w:b/>
          <w:sz w:val="24"/>
          <w:highlight w:val="none"/>
          <w:lang w:eastAsia="zh-CN"/>
        </w:rPr>
        <w:t>供方：</w:t>
      </w:r>
      <w:r>
        <w:rPr>
          <w:rFonts w:hint="eastAsia" w:ascii="仿宋" w:hAnsi="仿宋" w:eastAsia="仿宋" w:cs="仿宋"/>
          <w:b/>
          <w:sz w:val="24"/>
          <w:highlight w:val="none"/>
          <w:u w:val="single"/>
          <w:lang w:eastAsia="zh-CN"/>
        </w:rPr>
        <w:t xml:space="preserve">                             </w:t>
      </w:r>
    </w:p>
    <w:p w14:paraId="3432A198">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供方在</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年</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月</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日</w:t>
      </w:r>
      <w:r>
        <w:rPr>
          <w:rFonts w:hint="eastAsia" w:ascii="仿宋" w:hAnsi="仿宋" w:eastAsia="仿宋" w:cs="仿宋"/>
          <w:sz w:val="24"/>
          <w:highlight w:val="none"/>
          <w:u w:val="single"/>
          <w:lang w:eastAsia="zh-CN"/>
        </w:rPr>
        <w:t xml:space="preserve">  (采购代理机构)  </w:t>
      </w:r>
      <w:r>
        <w:rPr>
          <w:rFonts w:hint="eastAsia" w:ascii="仿宋" w:hAnsi="仿宋" w:eastAsia="仿宋" w:cs="仿宋"/>
          <w:sz w:val="24"/>
          <w:highlight w:val="none"/>
          <w:lang w:eastAsia="zh-CN"/>
        </w:rPr>
        <w:t>组织的项目编号为</w:t>
      </w:r>
      <w:r>
        <w:rPr>
          <w:rFonts w:hint="eastAsia" w:ascii="仿宋" w:hAnsi="仿宋" w:eastAsia="仿宋" w:cs="仿宋"/>
          <w:sz w:val="24"/>
          <w:highlight w:val="none"/>
          <w:u w:val="single"/>
          <w:lang w:eastAsia="zh-CN"/>
        </w:rPr>
        <w:t xml:space="preserve">1499002026ATP03519（SDZYCTP-26059）(第X包) </w:t>
      </w:r>
      <w:r>
        <w:rPr>
          <w:rFonts w:hint="eastAsia" w:ascii="仿宋" w:hAnsi="仿宋" w:eastAsia="仿宋" w:cs="仿宋"/>
          <w:sz w:val="24"/>
          <w:highlight w:val="none"/>
          <w:lang w:eastAsia="zh-CN"/>
        </w:rPr>
        <w:t>的</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项目采购活动中中标（成交）。为了保护供、需双方的合法权益，根据《中华人民共和国政府采购法》及《中华人民共和国民法典》等相关法律、法规的规定，经双方协商一致，签订本合同。</w:t>
      </w:r>
    </w:p>
    <w:p w14:paraId="156E04BC">
      <w:pPr>
        <w:pStyle w:val="9"/>
        <w:spacing w:line="360" w:lineRule="auto"/>
        <w:ind w:left="0" w:leftChars="0" w:firstLine="472" w:firstLineChars="196"/>
        <w:rPr>
          <w:rFonts w:hint="eastAsia" w:ascii="仿宋" w:hAnsi="仿宋" w:eastAsia="仿宋" w:cs="仿宋"/>
          <w:dstrike/>
          <w:sz w:val="24"/>
          <w:highlight w:val="none"/>
          <w:u w:val="single"/>
          <w:lang w:eastAsia="zh-CN"/>
        </w:rPr>
      </w:pPr>
      <w:r>
        <w:rPr>
          <w:rFonts w:hint="eastAsia" w:ascii="仿宋" w:hAnsi="仿宋" w:eastAsia="仿宋" w:cs="仿宋"/>
          <w:b/>
          <w:sz w:val="24"/>
          <w:highlight w:val="none"/>
          <w:lang w:eastAsia="zh-CN"/>
        </w:rPr>
        <w:t>最终用户：</w:t>
      </w:r>
      <w:r>
        <w:rPr>
          <w:rFonts w:hint="eastAsia" w:ascii="仿宋" w:hAnsi="仿宋" w:eastAsia="仿宋" w:cs="仿宋"/>
          <w:b/>
          <w:sz w:val="24"/>
          <w:highlight w:val="none"/>
          <w:u w:val="single"/>
          <w:lang w:eastAsia="zh-CN"/>
        </w:rPr>
        <w:t xml:space="preserve">      </w:t>
      </w:r>
      <w:r>
        <w:rPr>
          <w:rFonts w:hint="eastAsia" w:ascii="仿宋" w:hAnsi="仿宋" w:eastAsia="仿宋" w:cs="仿宋"/>
          <w:sz w:val="24"/>
          <w:highlight w:val="none"/>
          <w:u w:val="single"/>
          <w:lang w:eastAsia="zh-CN"/>
        </w:rPr>
        <w:t xml:space="preserve">各采购单位     </w:t>
      </w:r>
      <w:r>
        <w:rPr>
          <w:rFonts w:hint="eastAsia" w:ascii="仿宋" w:hAnsi="仿宋" w:eastAsia="仿宋" w:cs="仿宋"/>
          <w:b/>
          <w:sz w:val="24"/>
          <w:highlight w:val="none"/>
          <w:u w:val="single"/>
          <w:lang w:eastAsia="zh-CN"/>
        </w:rPr>
        <w:t xml:space="preserve">  </w:t>
      </w:r>
    </w:p>
    <w:p w14:paraId="38B862D5">
      <w:pPr>
        <w:spacing w:line="360" w:lineRule="auto"/>
        <w:ind w:firstLine="472" w:firstLineChars="196"/>
        <w:rPr>
          <w:rFonts w:hint="eastAsia" w:ascii="仿宋" w:hAnsi="仿宋" w:eastAsia="仿宋" w:cs="仿宋"/>
          <w:b/>
          <w:sz w:val="24"/>
          <w:highlight w:val="none"/>
          <w:lang w:eastAsia="zh-CN"/>
        </w:rPr>
      </w:pPr>
      <w:bookmarkStart w:id="45" w:name="_Toc326248000"/>
      <w:r>
        <w:rPr>
          <w:rFonts w:hint="eastAsia" w:ascii="仿宋" w:hAnsi="仿宋" w:eastAsia="仿宋" w:cs="仿宋"/>
          <w:b/>
          <w:sz w:val="24"/>
          <w:highlight w:val="none"/>
          <w:lang w:eastAsia="zh-CN"/>
        </w:rPr>
        <w:t>一、采购货物条款</w:t>
      </w:r>
      <w:bookmarkEnd w:id="45"/>
    </w:p>
    <w:p w14:paraId="14B46A9C">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供方向需方提供货物（以下简称“货物”），货物的具体名称、品牌、规格型号、数量、价格、产地及厂家等见附件一《采购货物清单》，技术参数、质保期、交货时间等见附件二。</w:t>
      </w:r>
    </w:p>
    <w:p w14:paraId="686AA55B">
      <w:pPr>
        <w:spacing w:line="360" w:lineRule="auto"/>
        <w:ind w:firstLine="472" w:firstLineChars="196"/>
        <w:rPr>
          <w:rFonts w:hint="eastAsia" w:ascii="仿宋" w:hAnsi="仿宋" w:eastAsia="仿宋" w:cs="仿宋"/>
          <w:b/>
          <w:sz w:val="24"/>
          <w:highlight w:val="none"/>
          <w:lang w:eastAsia="zh-CN"/>
        </w:rPr>
      </w:pPr>
      <w:bookmarkStart w:id="46" w:name="_Toc326248001"/>
      <w:r>
        <w:rPr>
          <w:rFonts w:hint="eastAsia" w:ascii="仿宋" w:hAnsi="仿宋" w:eastAsia="仿宋" w:cs="仿宋"/>
          <w:b/>
          <w:sz w:val="24"/>
          <w:highlight w:val="none"/>
          <w:lang w:eastAsia="zh-CN"/>
        </w:rPr>
        <w:t>二、合同总金额</w:t>
      </w:r>
      <w:bookmarkEnd w:id="46"/>
    </w:p>
    <w:p w14:paraId="5E568739">
      <w:pPr>
        <w:spacing w:line="360" w:lineRule="auto"/>
        <w:ind w:firstLine="480" w:firstLineChars="200"/>
        <w:rPr>
          <w:rFonts w:hint="eastAsia" w:ascii="仿宋" w:hAnsi="仿宋" w:eastAsia="仿宋" w:cs="仿宋"/>
          <w:sz w:val="24"/>
          <w:highlight w:val="none"/>
          <w:u w:val="single"/>
          <w:lang w:eastAsia="zh-CN"/>
        </w:rPr>
      </w:pPr>
      <w:r>
        <w:rPr>
          <w:rFonts w:hint="eastAsia" w:ascii="仿宋" w:hAnsi="仿宋" w:eastAsia="仿宋" w:cs="仿宋"/>
          <w:bCs/>
          <w:sz w:val="24"/>
          <w:highlight w:val="none"/>
          <w:lang w:eastAsia="zh-CN"/>
        </w:rPr>
        <w:t>人民币</w:t>
      </w:r>
      <w:r>
        <w:rPr>
          <w:rFonts w:hint="eastAsia" w:ascii="仿宋" w:hAnsi="仿宋" w:eastAsia="仿宋" w:cs="仿宋"/>
          <w:sz w:val="24"/>
          <w:highlight w:val="none"/>
          <w:lang w:eastAsia="zh-CN"/>
        </w:rPr>
        <w:t>（大写）：</w:t>
      </w:r>
      <w:r>
        <w:rPr>
          <w:rFonts w:hint="eastAsia" w:ascii="仿宋" w:hAnsi="仿宋" w:eastAsia="仿宋" w:cs="仿宋"/>
          <w:sz w:val="24"/>
          <w:highlight w:val="none"/>
          <w:u w:val="single"/>
          <w:lang w:eastAsia="zh-CN"/>
        </w:rPr>
        <w:t xml:space="preserve">                        （含税价）</w:t>
      </w:r>
    </w:p>
    <w:p w14:paraId="388E7684">
      <w:pPr>
        <w:spacing w:line="360" w:lineRule="auto"/>
        <w:ind w:firstLine="1200" w:firstLineChars="500"/>
        <w:rPr>
          <w:rFonts w:hint="eastAsia" w:ascii="仿宋" w:hAnsi="仿宋" w:eastAsia="仿宋" w:cs="仿宋"/>
          <w:sz w:val="24"/>
          <w:highlight w:val="none"/>
          <w:u w:val="single"/>
          <w:lang w:eastAsia="zh-CN"/>
        </w:rPr>
      </w:pPr>
      <w:r>
        <w:rPr>
          <w:rFonts w:hint="eastAsia" w:ascii="仿宋" w:hAnsi="仿宋" w:eastAsia="仿宋" w:cs="仿宋"/>
          <w:sz w:val="24"/>
          <w:highlight w:val="none"/>
          <w:lang w:eastAsia="zh-CN"/>
        </w:rPr>
        <w:t>（小写）：</w:t>
      </w:r>
      <w:r>
        <w:rPr>
          <w:rFonts w:hint="eastAsia" w:ascii="仿宋" w:hAnsi="仿宋" w:eastAsia="仿宋" w:cs="仿宋"/>
          <w:sz w:val="24"/>
          <w:highlight w:val="none"/>
          <w:u w:val="single"/>
          <w:lang w:eastAsia="zh-CN"/>
        </w:rPr>
        <w:t xml:space="preserve">￥                                </w:t>
      </w:r>
    </w:p>
    <w:p w14:paraId="4C657381">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此价格为合同执行不变价，不因国家政策变化或其他原因而做价格调整。合同总金额包括货物价款、运输、安装、调试、售后等总体全部费用。</w:t>
      </w:r>
    </w:p>
    <w:p w14:paraId="6B0CF5A0">
      <w:pPr>
        <w:spacing w:line="360" w:lineRule="auto"/>
        <w:ind w:firstLine="472" w:firstLineChars="196"/>
        <w:rPr>
          <w:rFonts w:hint="eastAsia" w:ascii="仿宋" w:hAnsi="仿宋" w:eastAsia="仿宋" w:cs="仿宋"/>
          <w:b/>
          <w:sz w:val="24"/>
          <w:highlight w:val="none"/>
          <w:lang w:eastAsia="zh-CN"/>
        </w:rPr>
      </w:pPr>
      <w:bookmarkStart w:id="47" w:name="_Toc326248002"/>
      <w:r>
        <w:rPr>
          <w:rFonts w:hint="eastAsia" w:ascii="仿宋" w:hAnsi="仿宋" w:eastAsia="仿宋" w:cs="仿宋"/>
          <w:b/>
          <w:sz w:val="24"/>
          <w:highlight w:val="none"/>
          <w:lang w:eastAsia="zh-CN"/>
        </w:rPr>
        <w:t>三、货款支付</w:t>
      </w:r>
      <w:bookmarkEnd w:id="47"/>
    </w:p>
    <w:p w14:paraId="6B37EC31">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1、供方向需方按照以下第</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方式支付履约保证金。</w:t>
      </w:r>
    </w:p>
    <w:p w14:paraId="5B6CF163">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①采购国产货物的签订合同前供方应向需方交付国产货物对应货款的</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%（人民币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元）作为合同履约保证金，质量验收合格一年后无质量问题无息退还。</w:t>
      </w:r>
    </w:p>
    <w:p w14:paraId="7D7537DB">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②采购进口货物的签订合同前供方应向需方交付进口货物对应货款的</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%作为合同履约保证金（人民币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元），质量验收合格一年后无质量问题无息退还。</w:t>
      </w:r>
    </w:p>
    <w:p w14:paraId="14ECC50C">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2、需方向供方按照以下第</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方式进行付款。</w:t>
      </w:r>
    </w:p>
    <w:p w14:paraId="5A5013D5">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①采购国产货物的经需方质量验收合格后30日内支付国产货物对应货款（人民币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w:t>
      </w:r>
    </w:p>
    <w:p w14:paraId="4D15AE3E">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②采购国产定制货物且需要预付货款的签订本合同后30日内，需方向供方预付国产定制货物对应货款的</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 xml:space="preserve"> %（人民币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元）；需方收到本合同项下全部货物并经初步验收合格后30日内，需方向供方支付国产定制货物对应货款的</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%（人民   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元）；全部货物经需方质量验收合格后30日内支付国产定制货物对应货款的</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%（人民币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w:t>
      </w:r>
    </w:p>
    <w:p w14:paraId="53CA4E86">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③采购进口货物的签订合同后供方应向需方提供货物进口装运单据，由需方审核装运单据无误后30日内向供方支付进口货物对应货款的90%（人民币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元），需方签署质量验收报告之日起30日内支付进口货物对应货款的剩余10%（人民币</w:t>
      </w:r>
      <w:r>
        <w:rPr>
          <w:rFonts w:hint="eastAsia" w:ascii="仿宋" w:hAnsi="仿宋" w:eastAsia="仿宋" w:cs="仿宋"/>
          <w:bCs/>
          <w:sz w:val="24"/>
          <w:highlight w:val="none"/>
          <w:u w:val="single"/>
          <w:lang w:eastAsia="zh-CN"/>
        </w:rPr>
        <w:t xml:space="preserve">    </w:t>
      </w:r>
      <w:r>
        <w:rPr>
          <w:rFonts w:hint="eastAsia" w:ascii="仿宋" w:hAnsi="仿宋" w:eastAsia="仿宋" w:cs="仿宋"/>
          <w:bCs/>
          <w:sz w:val="24"/>
          <w:highlight w:val="none"/>
          <w:lang w:eastAsia="zh-CN"/>
        </w:rPr>
        <w:t>元）。</w:t>
      </w:r>
    </w:p>
    <w:p w14:paraId="133347E5">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color w:val="0C0C0C"/>
          <w:sz w:val="24"/>
          <w:highlight w:val="none"/>
          <w:lang w:eastAsia="zh-CN"/>
        </w:rPr>
        <w:t>3、供方应当在需方付款前向需方出具合法有效的发票（采购进口货物的，供方应当在需方支付预付款前提交装运单据，在需方支付尾款前开具合法有效的发票），</w:t>
      </w:r>
      <w:r>
        <w:rPr>
          <w:rFonts w:hint="eastAsia" w:ascii="仿宋" w:hAnsi="仿宋" w:eastAsia="仿宋" w:cs="仿宋"/>
          <w:bCs/>
          <w:sz w:val="24"/>
          <w:highlight w:val="none"/>
          <w:lang w:eastAsia="zh-CN"/>
        </w:rPr>
        <w:t>否则，需方有权拒绝支付相应的货款。</w:t>
      </w:r>
    </w:p>
    <w:p w14:paraId="3159CE2B">
      <w:pPr>
        <w:spacing w:line="360" w:lineRule="auto"/>
        <w:ind w:firstLine="472" w:firstLineChars="196"/>
        <w:rPr>
          <w:rFonts w:hint="eastAsia" w:ascii="仿宋" w:hAnsi="仿宋" w:eastAsia="仿宋" w:cs="仿宋"/>
          <w:b/>
          <w:sz w:val="24"/>
          <w:highlight w:val="none"/>
          <w:lang w:eastAsia="zh-CN"/>
        </w:rPr>
      </w:pPr>
      <w:bookmarkStart w:id="48" w:name="_Toc326248003"/>
      <w:r>
        <w:rPr>
          <w:rFonts w:hint="eastAsia" w:ascii="仿宋" w:hAnsi="仿宋" w:eastAsia="仿宋" w:cs="仿宋"/>
          <w:b/>
          <w:sz w:val="24"/>
          <w:highlight w:val="none"/>
          <w:lang w:eastAsia="zh-CN"/>
        </w:rPr>
        <w:t>四、售后服务及承诺</w:t>
      </w:r>
      <w:bookmarkEnd w:id="48"/>
    </w:p>
    <w:p w14:paraId="5D472761">
      <w:pPr>
        <w:spacing w:line="360" w:lineRule="auto"/>
        <w:ind w:firstLine="480" w:firstLineChars="200"/>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供方向需方承诺：所供货物质保期为</w:t>
      </w:r>
      <w:r>
        <w:rPr>
          <w:rFonts w:hint="eastAsia" w:ascii="仿宋" w:hAnsi="仿宋" w:eastAsia="仿宋" w:cs="仿宋"/>
          <w:bCs/>
          <w:sz w:val="24"/>
          <w:highlight w:val="none"/>
          <w:u w:val="single"/>
          <w:lang w:eastAsia="zh-CN"/>
        </w:rPr>
        <w:t xml:space="preserve"> X </w:t>
      </w:r>
      <w:r>
        <w:rPr>
          <w:rFonts w:hint="eastAsia" w:ascii="仿宋" w:hAnsi="仿宋" w:eastAsia="仿宋" w:cs="仿宋"/>
          <w:bCs/>
          <w:sz w:val="24"/>
          <w:highlight w:val="none"/>
          <w:lang w:eastAsia="zh-CN"/>
        </w:rPr>
        <w:t>年，从质量验收合格之日算起。详见售后服务承诺（附件三）。</w:t>
      </w:r>
    </w:p>
    <w:p w14:paraId="0DBE9353">
      <w:pPr>
        <w:spacing w:line="360" w:lineRule="auto"/>
        <w:ind w:firstLine="482" w:firstLineChars="200"/>
        <w:rPr>
          <w:rFonts w:hint="eastAsia" w:ascii="仿宋" w:hAnsi="仿宋" w:eastAsia="仿宋" w:cs="仿宋"/>
          <w:b/>
          <w:sz w:val="24"/>
          <w:highlight w:val="none"/>
          <w:lang w:eastAsia="zh-CN"/>
        </w:rPr>
      </w:pPr>
      <w:bookmarkStart w:id="49" w:name="_Toc326248004"/>
      <w:r>
        <w:rPr>
          <w:rFonts w:hint="eastAsia" w:ascii="仿宋" w:hAnsi="仿宋" w:eastAsia="仿宋" w:cs="仿宋"/>
          <w:b/>
          <w:sz w:val="24"/>
          <w:highlight w:val="none"/>
          <w:lang w:eastAsia="zh-CN"/>
        </w:rPr>
        <w:t>五、交货</w:t>
      </w:r>
      <w:bookmarkEnd w:id="49"/>
    </w:p>
    <w:p w14:paraId="63269DE2">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1、交货日期：自合同签订之日起 </w:t>
      </w:r>
      <w:r>
        <w:rPr>
          <w:rFonts w:hint="eastAsia" w:ascii="仿宋" w:hAnsi="仿宋" w:eastAsia="仿宋" w:cs="仿宋"/>
          <w:sz w:val="24"/>
          <w:highlight w:val="none"/>
          <w:u w:val="single"/>
          <w:lang w:eastAsia="zh-CN"/>
        </w:rPr>
        <w:t xml:space="preserve"> X </w:t>
      </w:r>
      <w:r>
        <w:rPr>
          <w:rFonts w:hint="eastAsia" w:ascii="仿宋" w:hAnsi="仿宋" w:eastAsia="仿宋" w:cs="仿宋"/>
          <w:sz w:val="24"/>
          <w:highlight w:val="none"/>
          <w:lang w:eastAsia="zh-CN"/>
        </w:rPr>
        <w:t>天内，供方应向需方完成供货、安装调试、质量验收等相关交货手续。</w:t>
      </w:r>
    </w:p>
    <w:p w14:paraId="5B83D2EC">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2、交货地点：需方指定的交付地点。 </w:t>
      </w:r>
    </w:p>
    <w:p w14:paraId="6B3F902F">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3、货物的运输由供方自行解决，费用由供方负担。</w:t>
      </w:r>
    </w:p>
    <w:p w14:paraId="008B3CDC">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4、全部货物须采用符合标准要求的包装，确保货物完好运抵现场。若由于包装不善引起货物锈蚀、损坏和丢失的一切责任，供方承担修复、更换、补缺、补货的全部费用。</w:t>
      </w:r>
    </w:p>
    <w:p w14:paraId="78AA790B">
      <w:pPr>
        <w:spacing w:line="360" w:lineRule="auto"/>
        <w:ind w:firstLine="472" w:firstLineChars="196"/>
        <w:rPr>
          <w:rFonts w:hint="eastAsia" w:ascii="仿宋" w:hAnsi="仿宋" w:eastAsia="仿宋" w:cs="仿宋"/>
          <w:b/>
          <w:sz w:val="24"/>
          <w:highlight w:val="none"/>
          <w:lang w:eastAsia="zh-CN"/>
        </w:rPr>
      </w:pPr>
      <w:bookmarkStart w:id="50" w:name="_Toc326248005"/>
      <w:r>
        <w:rPr>
          <w:rFonts w:hint="eastAsia" w:ascii="仿宋" w:hAnsi="仿宋" w:eastAsia="仿宋" w:cs="仿宋"/>
          <w:b/>
          <w:sz w:val="24"/>
          <w:highlight w:val="none"/>
          <w:lang w:eastAsia="zh-CN"/>
        </w:rPr>
        <w:t>六、</w:t>
      </w:r>
      <w:bookmarkEnd w:id="50"/>
      <w:r>
        <w:rPr>
          <w:rFonts w:hint="eastAsia" w:ascii="仿宋" w:hAnsi="仿宋" w:eastAsia="仿宋" w:cs="仿宋"/>
          <w:b/>
          <w:sz w:val="24"/>
          <w:highlight w:val="none"/>
          <w:lang w:eastAsia="zh-CN"/>
        </w:rPr>
        <w:t>初验</w:t>
      </w:r>
    </w:p>
    <w:p w14:paraId="3EF292E2">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1、货物送至需方指定交付地点后，由供方负责卸货，费用由供方负担。</w:t>
      </w:r>
    </w:p>
    <w:p w14:paraId="7AF9BF17">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需方依据货物装箱单、合同货物清单等对物品进行初步点验，检验货物的包装、规格、型号、数量及外观，确认无误后在货物签收单上签字，初验合格不视为货物完成交付，货物毁损、灭失的风险尚未转移至需方。初验合格不视为产品质量验收合格。</w:t>
      </w:r>
    </w:p>
    <w:p w14:paraId="5A24D123">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初步验收时，若发现规格、型号、数量及外观与合同或订单不符的情况，需方有权拒收货物，并当场反馈供方。供方应当在3日内按需方要求免费对拒收货物采取更换或其他必要的补救措施，直至初步验收合格。</w:t>
      </w:r>
    </w:p>
    <w:p w14:paraId="51780840">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4、在交货日期之后发现因供方原因造成的货物与装箱清单数目、规格不一致的，供方仍应当承担货物交付不当的责任。</w:t>
      </w:r>
    </w:p>
    <w:p w14:paraId="04E1659B">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供方应提供货物的完整资料，包括但不限于产品说明书、产品质量检验合格证、质量检测报告、技术资料、相应质检必备材料等，产品资料应当与货物同时交付。需方如果发现相关资料存在有误、短缺或损坏，供方应在收到需方的通知后7日内免费替换、补齐短缺或损坏的部分。</w:t>
      </w:r>
    </w:p>
    <w:p w14:paraId="5603A36E">
      <w:pPr>
        <w:spacing w:line="360" w:lineRule="auto"/>
        <w:ind w:firstLine="434"/>
        <w:rPr>
          <w:rFonts w:hint="eastAsia" w:ascii="仿宋" w:hAnsi="仿宋" w:eastAsia="仿宋" w:cs="仿宋"/>
          <w:b/>
          <w:sz w:val="24"/>
          <w:highlight w:val="none"/>
          <w:lang w:eastAsia="zh-CN"/>
        </w:rPr>
      </w:pPr>
      <w:r>
        <w:rPr>
          <w:rFonts w:hint="eastAsia" w:ascii="仿宋" w:hAnsi="仿宋" w:eastAsia="仿宋" w:cs="仿宋"/>
          <w:b/>
          <w:sz w:val="24"/>
          <w:highlight w:val="none"/>
          <w:lang w:eastAsia="zh-CN"/>
        </w:rPr>
        <w:t>七、货物的安装、调试</w:t>
      </w:r>
    </w:p>
    <w:p w14:paraId="64A18EAC">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1、供方必须严格按双方签字确认的施工方案及工期完成安装调试工作。</w:t>
      </w:r>
    </w:p>
    <w:p w14:paraId="24EB42EA">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2、因需方原因造成货物安装拖延或推迟安装进程，供方应取得需方书面签证，工期方可顺延。</w:t>
      </w:r>
    </w:p>
    <w:p w14:paraId="7072CA18">
      <w:pPr>
        <w:spacing w:line="360" w:lineRule="auto"/>
        <w:ind w:firstLine="434"/>
        <w:rPr>
          <w:rFonts w:hint="eastAsia" w:ascii="仿宋" w:hAnsi="仿宋" w:eastAsia="仿宋" w:cs="仿宋"/>
          <w:b/>
          <w:sz w:val="24"/>
          <w:highlight w:val="none"/>
          <w:lang w:eastAsia="zh-CN"/>
        </w:rPr>
      </w:pPr>
      <w:r>
        <w:rPr>
          <w:rFonts w:hint="eastAsia" w:ascii="仿宋" w:hAnsi="仿宋" w:eastAsia="仿宋" w:cs="仿宋"/>
          <w:b/>
          <w:sz w:val="24"/>
          <w:highlight w:val="none"/>
          <w:lang w:eastAsia="zh-CN"/>
        </w:rPr>
        <w:t>八、试运行及质量验收</w:t>
      </w:r>
    </w:p>
    <w:p w14:paraId="7EBFF8AB">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1、货物安装调试完毕后，供方书面通知需方进行现场质量验收，需方应当于收到验收通知后5日内组织质量验收。</w:t>
      </w:r>
    </w:p>
    <w:p w14:paraId="25B3C55D">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2、质量验收标准：</w:t>
      </w:r>
    </w:p>
    <w:p w14:paraId="7CA74365">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（1）供方提交的货物应符合合同中所记载的详细配置、技术参数及性能，并应附有此类货物完整、详细的技术资料和说明文件。</w:t>
      </w:r>
    </w:p>
    <w:p w14:paraId="37D165E4">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（2）货物整体运行指标符合合同附件约定的内容并满足国家相关标准及行业规范。</w:t>
      </w:r>
    </w:p>
    <w:p w14:paraId="773E9A64">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3、货物经需方质量验收合格后，签署货物验收报告（须需方签字并盖章生效）。</w:t>
      </w:r>
    </w:p>
    <w:p w14:paraId="37B5E1DE">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质量验收中如发现货物存在质量问题，由需方书面通知供方质量验收不合格，供方应当在3日内按照需方的要求进行整改，供方在完成整改后重新书面通知需方进行验收。第二次质量验收仍不合格，需方有权以通知的方式单方解除合同。</w:t>
      </w:r>
    </w:p>
    <w:p w14:paraId="57A6DF15">
      <w:pPr>
        <w:spacing w:line="360" w:lineRule="auto"/>
        <w:ind w:firstLine="434"/>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货物经过需方最终质量验收合格后，视为完成货物交付，货物毁损、灭失的风险转移至需方；需方收到货物并质量验收合格以前所产生的运输、仓储等一切费用，由供方承担；需方质量验收合格以后所产生的运输、仓储等一切费用，由需方承担。</w:t>
      </w:r>
    </w:p>
    <w:p w14:paraId="37C915E0">
      <w:pPr>
        <w:spacing w:line="360" w:lineRule="auto"/>
        <w:ind w:firstLine="472" w:firstLineChars="196"/>
        <w:rPr>
          <w:rFonts w:hint="eastAsia" w:ascii="仿宋" w:hAnsi="仿宋" w:eastAsia="仿宋" w:cs="仿宋"/>
          <w:b/>
          <w:sz w:val="24"/>
          <w:highlight w:val="none"/>
          <w:lang w:eastAsia="zh-CN"/>
        </w:rPr>
      </w:pPr>
      <w:bookmarkStart w:id="51" w:name="_Toc326248006"/>
      <w:r>
        <w:rPr>
          <w:rFonts w:hint="eastAsia" w:ascii="仿宋" w:hAnsi="仿宋" w:eastAsia="仿宋" w:cs="仿宋"/>
          <w:b/>
          <w:sz w:val="24"/>
          <w:highlight w:val="none"/>
          <w:lang w:eastAsia="zh-CN"/>
        </w:rPr>
        <w:t>九、需方责任</w:t>
      </w:r>
      <w:bookmarkEnd w:id="51"/>
    </w:p>
    <w:p w14:paraId="385905C5">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1、负责为供方提供工作场地，协助供方办理有关事宜。</w:t>
      </w:r>
    </w:p>
    <w:p w14:paraId="4A3F36C6">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2、组织验收，并及时为供方办理付款手续。</w:t>
      </w:r>
    </w:p>
    <w:p w14:paraId="76252C75">
      <w:pPr>
        <w:spacing w:line="360" w:lineRule="auto"/>
        <w:ind w:firstLine="472" w:firstLineChars="196"/>
        <w:rPr>
          <w:rFonts w:hint="eastAsia" w:ascii="仿宋" w:hAnsi="仿宋" w:eastAsia="仿宋" w:cs="仿宋"/>
          <w:b/>
          <w:sz w:val="24"/>
          <w:highlight w:val="none"/>
          <w:lang w:eastAsia="zh-CN"/>
        </w:rPr>
      </w:pPr>
      <w:bookmarkStart w:id="52" w:name="_Toc326248007"/>
      <w:r>
        <w:rPr>
          <w:rFonts w:hint="eastAsia" w:ascii="仿宋" w:hAnsi="仿宋" w:eastAsia="仿宋" w:cs="仿宋"/>
          <w:b/>
          <w:sz w:val="24"/>
          <w:highlight w:val="none"/>
          <w:lang w:eastAsia="zh-CN"/>
        </w:rPr>
        <w:t>十、供方责任</w:t>
      </w:r>
      <w:bookmarkEnd w:id="52"/>
    </w:p>
    <w:p w14:paraId="0B277F3D">
      <w:pPr>
        <w:spacing w:line="360" w:lineRule="auto"/>
        <w:ind w:firstLine="470" w:firstLineChars="196"/>
        <w:rPr>
          <w:rFonts w:hint="eastAsia" w:ascii="仿宋" w:hAnsi="仿宋" w:eastAsia="仿宋" w:cs="仿宋"/>
          <w:sz w:val="24"/>
          <w:highlight w:val="none"/>
          <w:lang w:eastAsia="zh-CN"/>
        </w:rPr>
      </w:pPr>
      <w:bookmarkStart w:id="53" w:name="_Toc326248008"/>
      <w:r>
        <w:rPr>
          <w:rFonts w:hint="eastAsia" w:ascii="仿宋" w:hAnsi="仿宋" w:eastAsia="仿宋" w:cs="仿宋"/>
          <w:sz w:val="24"/>
          <w:highlight w:val="none"/>
          <w:lang w:eastAsia="zh-CN"/>
        </w:rPr>
        <w:t>1、保证所供货物均为投标（响应）文件承诺货物，符合相关质量检测标准。</w:t>
      </w:r>
    </w:p>
    <w:p w14:paraId="05490F05">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2、保证货物的售后服务，严格依据投标（响应）文件及相关承诺，对货物及配件进行保修、保养等服务。</w:t>
      </w:r>
    </w:p>
    <w:p w14:paraId="5ED1EDB5">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3、严格按照合同附件及需方的要求安装调试及施工。</w:t>
      </w:r>
    </w:p>
    <w:p w14:paraId="3699301E">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4、遵守施工规章制度及安全条例，承担自身安全措施不力而造成事故的责任和因此发生的一切费用。</w:t>
      </w:r>
    </w:p>
    <w:p w14:paraId="2DD7AFF0">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5、供方保证需方在使用该货物时不受第三方提出侵犯其专利权、版权、商标权或其他权利的起诉。一旦出现侵权，索赔或诉讼，供方应承担全部责任。</w:t>
      </w:r>
    </w:p>
    <w:p w14:paraId="46855724">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6、对施工完毕但未经验收的产品予以保护。</w:t>
      </w:r>
    </w:p>
    <w:p w14:paraId="046CC876">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7、向需方提供相关技术资料，对其材料、设备及施工的质量向需方负责。</w:t>
      </w:r>
    </w:p>
    <w:p w14:paraId="5C531C2D">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8、供方保证货物不存在危及人身及财产安全的产品缺陷。若由于缺陷致使出现安全事故，由此产生的全部责任（包括但不限于侵权损害赔偿、行政机关的罚款等）由供方承担，与需方无关。</w:t>
      </w:r>
    </w:p>
    <w:p w14:paraId="7B6CC4DC">
      <w:pPr>
        <w:spacing w:line="360" w:lineRule="auto"/>
        <w:ind w:firstLine="472" w:firstLineChars="196"/>
        <w:rPr>
          <w:rFonts w:hint="eastAsia" w:ascii="仿宋" w:hAnsi="仿宋" w:eastAsia="仿宋" w:cs="仿宋"/>
          <w:b/>
          <w:sz w:val="24"/>
          <w:highlight w:val="none"/>
          <w:lang w:eastAsia="zh-CN"/>
        </w:rPr>
      </w:pPr>
      <w:r>
        <w:rPr>
          <w:rFonts w:hint="eastAsia" w:ascii="仿宋" w:hAnsi="仿宋" w:eastAsia="仿宋" w:cs="仿宋"/>
          <w:b/>
          <w:sz w:val="24"/>
          <w:highlight w:val="none"/>
          <w:lang w:eastAsia="zh-CN"/>
        </w:rPr>
        <w:t>十一、违约责任</w:t>
      </w:r>
      <w:bookmarkEnd w:id="53"/>
    </w:p>
    <w:p w14:paraId="16C915F3">
      <w:pPr>
        <w:spacing w:line="360" w:lineRule="auto"/>
        <w:ind w:firstLine="470" w:firstLineChars="196"/>
        <w:rPr>
          <w:rFonts w:hint="eastAsia" w:ascii="仿宋" w:hAnsi="仿宋" w:eastAsia="仿宋" w:cs="仿宋"/>
          <w:sz w:val="24"/>
          <w:highlight w:val="none"/>
          <w:lang w:eastAsia="zh-CN"/>
        </w:rPr>
      </w:pPr>
      <w:bookmarkStart w:id="54" w:name="_Toc326248009"/>
      <w:r>
        <w:rPr>
          <w:rFonts w:hint="eastAsia" w:ascii="仿宋" w:hAnsi="仿宋" w:eastAsia="仿宋" w:cs="仿宋"/>
          <w:sz w:val="24"/>
          <w:highlight w:val="none"/>
          <w:lang w:eastAsia="zh-CN"/>
        </w:rPr>
        <w:t>1、供方所交付的货物品种、型号、规格、质量不符合合同约定的，需方有权拒收。供方在15日内未整改完毕，需方有权采取以下方式：</w:t>
      </w:r>
    </w:p>
    <w:p w14:paraId="3B5BBFA7">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（1）向供方退回不符合合同约定的货物，供方应当退还相应的已付货款及利息，同时供方向需方支付合同总额3%的违约金。</w:t>
      </w:r>
    </w:p>
    <w:p w14:paraId="49D4423C">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（2）以书面通知的方式单方解除合同，自通知到达供方之日起合同解除，供方应当退还需方全部已付货款及利息。同时，供方向需方支付合同款总额5%的违约金。</w:t>
      </w:r>
    </w:p>
    <w:p w14:paraId="6EFDC618">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供方不能交付货物或者出现严重影响本合同履行的情况（包括但不限于经营状况恶化、产品质量问题被处罚、采购或定制货物节点严重迟延等），需方有权以通知方式单方解除合同，自解除通知到达供方之日起合同解除，供方应当退还全部已付货款及利息，同时供方向需方支付合同总额5%的违约金。</w:t>
      </w:r>
    </w:p>
    <w:p w14:paraId="18A57FCE">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供方逾期交付货物时，每逾1日供方向需方偿付合同款总额3‰的滞纳金。逾期交货超过30天后，需方有权以通知的方式单方解除合同，自通知到达对方之日起合同解除，供方应当退还需方全部已付货款及利息，同时供方向需方偿付合同款总额5%的违约金。</w:t>
      </w:r>
    </w:p>
    <w:p w14:paraId="2024C9B2">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上述1-3条的利息计算方法为：自需方支付货款之日起算至实际退还之日，以应退货款金额为基数，按照合同订立时1年期贷款市场报价利率计算。</w:t>
      </w:r>
    </w:p>
    <w:p w14:paraId="3E5A6C8F">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需方应当按照合同约定及时履行付款义务。需方逾期付款超过30日的，需方应当向供方支付逾期付款违约金，计算方法为：自逾期满30日起算至实际付款之日，以应付未付款金额为基数，按照合同订立时1年期贷款市场报价利率计算逾期付款违约金。</w:t>
      </w:r>
    </w:p>
    <w:p w14:paraId="2E037AF3">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如果供方未按照本合同约定履行合同义务，需方有权直接扣除履约保证金来抵偿供方应当向需方支付的违约金、损失赔偿金、需方维权所需费用等。履约保证金不足以抵偿上述费用的，需方有权继续主张索赔。</w:t>
      </w:r>
    </w:p>
    <w:p w14:paraId="56907D50">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6、合同执行过程中，供、需双方中一方要求中止或变更合同，需书面（公函、传真）通知对方，对方接通知后应在15天内以书面形式答复对方是否同意，具体事宜按《中华人民共和国民法典》办理。</w:t>
      </w:r>
    </w:p>
    <w:bookmarkEnd w:id="54"/>
    <w:p w14:paraId="00245962">
      <w:pPr>
        <w:spacing w:line="360" w:lineRule="auto"/>
        <w:ind w:firstLine="472" w:firstLineChars="196"/>
        <w:rPr>
          <w:rFonts w:hint="eastAsia" w:ascii="仿宋" w:hAnsi="仿宋" w:eastAsia="仿宋" w:cs="仿宋"/>
          <w:b/>
          <w:sz w:val="24"/>
          <w:highlight w:val="none"/>
          <w:lang w:eastAsia="zh-CN"/>
        </w:rPr>
      </w:pPr>
      <w:r>
        <w:rPr>
          <w:rFonts w:hint="eastAsia" w:ascii="仿宋" w:hAnsi="仿宋" w:eastAsia="仿宋" w:cs="仿宋"/>
          <w:b/>
          <w:sz w:val="24"/>
          <w:highlight w:val="none"/>
          <w:lang w:eastAsia="zh-CN"/>
        </w:rPr>
        <w:t>十二、不可抗力</w:t>
      </w:r>
    </w:p>
    <w:p w14:paraId="0D85A69F">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需双方的任何一方由于不可抗力的原因不能履行合同时，应及时向对方通报不能履行或不能完全履行理由；在取得有关主管机关证明以后，允许延期履行、部分履行或者不履行合同，并根据情况可部分或全部免予承担违约责任。</w:t>
      </w:r>
    </w:p>
    <w:p w14:paraId="5B55E712">
      <w:pPr>
        <w:spacing w:line="360" w:lineRule="auto"/>
        <w:ind w:firstLine="472" w:firstLineChars="196"/>
        <w:rPr>
          <w:rFonts w:hint="eastAsia" w:ascii="仿宋" w:hAnsi="仿宋" w:eastAsia="仿宋" w:cs="仿宋"/>
          <w:b/>
          <w:sz w:val="24"/>
          <w:highlight w:val="none"/>
          <w:lang w:eastAsia="zh-CN"/>
        </w:rPr>
      </w:pPr>
      <w:bookmarkStart w:id="55" w:name="_Toc326248010"/>
      <w:r>
        <w:rPr>
          <w:rFonts w:hint="eastAsia" w:ascii="仿宋" w:hAnsi="仿宋" w:eastAsia="仿宋" w:cs="仿宋"/>
          <w:b/>
          <w:sz w:val="24"/>
          <w:highlight w:val="none"/>
          <w:lang w:eastAsia="zh-CN"/>
        </w:rPr>
        <w:t>十三、争议解决</w:t>
      </w:r>
      <w:bookmarkEnd w:id="55"/>
    </w:p>
    <w:p w14:paraId="098E866C">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供需双方在执行合同中发生争议，应通过协商解决。如协商不成，向需方所在地人民法院诉讼解决。</w:t>
      </w:r>
    </w:p>
    <w:p w14:paraId="3BC7A3F8">
      <w:pPr>
        <w:spacing w:line="360" w:lineRule="auto"/>
        <w:ind w:firstLine="472" w:firstLineChars="196"/>
        <w:rPr>
          <w:rFonts w:hint="eastAsia" w:ascii="仿宋" w:hAnsi="仿宋" w:eastAsia="仿宋" w:cs="仿宋"/>
          <w:b/>
          <w:sz w:val="24"/>
          <w:highlight w:val="none"/>
          <w:lang w:eastAsia="zh-CN"/>
        </w:rPr>
      </w:pPr>
      <w:bookmarkStart w:id="56" w:name="_Toc326248011"/>
      <w:r>
        <w:rPr>
          <w:rFonts w:hint="eastAsia" w:ascii="仿宋" w:hAnsi="仿宋" w:eastAsia="仿宋" w:cs="仿宋"/>
          <w:b/>
          <w:sz w:val="24"/>
          <w:highlight w:val="none"/>
          <w:lang w:eastAsia="zh-CN"/>
        </w:rPr>
        <w:t>十四、合同生效及其他</w:t>
      </w:r>
      <w:bookmarkEnd w:id="56"/>
    </w:p>
    <w:p w14:paraId="74EA268D">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1、合同由供、需双方授权代表签字并加盖公章后生效。</w:t>
      </w:r>
    </w:p>
    <w:p w14:paraId="55D5D7AC">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2、本合同一式肆份。需方贰份，其中壹份由校资产管理部门备案保管，壹份由校财务部门备案保管；供方壹份，采购代理机构存档壹份。</w:t>
      </w:r>
    </w:p>
    <w:p w14:paraId="07BFC36B">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3、合同执行过程中出现的未尽事宜，双方在不违背合同和招标文件的前提下协商解决。协商结果以“补充协议”形式作为合同附件，与合同具有同等效力。</w:t>
      </w:r>
    </w:p>
    <w:p w14:paraId="62B8A2DB">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本合同各方往来函件，必须以书面方式做出，并通过快递、EMS、专人送达、电子邮件的方式向对方送达。双方确认，合同尾部的联系方式与地址为各方函件的送达地址。如合同一方地址或电话号码发生变更，应及时书面通知对方。未及时通知地址变更的，于发出函件后第3日即视为已送达。本条规定适用于诉讼、仲裁过程中法院或仲裁机构向任何一方送达文件。</w:t>
      </w:r>
    </w:p>
    <w:p w14:paraId="604C943B">
      <w:pPr>
        <w:spacing w:line="360" w:lineRule="auto"/>
        <w:ind w:firstLine="472" w:firstLineChars="196"/>
        <w:rPr>
          <w:rFonts w:hint="eastAsia" w:ascii="仿宋" w:hAnsi="仿宋" w:eastAsia="仿宋" w:cs="仿宋"/>
          <w:b/>
          <w:sz w:val="24"/>
          <w:highlight w:val="none"/>
          <w:lang w:eastAsia="zh-CN"/>
        </w:rPr>
      </w:pPr>
      <w:bookmarkStart w:id="57" w:name="_Toc326248012"/>
      <w:r>
        <w:rPr>
          <w:rFonts w:hint="eastAsia" w:ascii="仿宋" w:hAnsi="仿宋" w:eastAsia="仿宋" w:cs="仿宋"/>
          <w:b/>
          <w:sz w:val="24"/>
          <w:highlight w:val="none"/>
          <w:lang w:eastAsia="zh-CN"/>
        </w:rPr>
        <w:t>十五、下列文件为本合同不可分割部分</w:t>
      </w:r>
      <w:bookmarkEnd w:id="57"/>
    </w:p>
    <w:p w14:paraId="74DF921E">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1、招标文件（谈判文件/磋商文件/询价通知书/单一来源采购文件）</w:t>
      </w:r>
    </w:p>
    <w:p w14:paraId="3FF57E50">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2、投标文件（响应文件）</w:t>
      </w:r>
    </w:p>
    <w:p w14:paraId="47FB8ED1">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3、中标通知书（成交通知书）</w:t>
      </w:r>
    </w:p>
    <w:p w14:paraId="18A2B3E8">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4、合同附件</w:t>
      </w:r>
    </w:p>
    <w:p w14:paraId="34DC85CD">
      <w:pPr>
        <w:spacing w:line="360" w:lineRule="auto"/>
        <w:ind w:firstLine="470" w:firstLineChars="196"/>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5、投标人（供应商）所做的其他承诺</w:t>
      </w:r>
    </w:p>
    <w:p w14:paraId="0B05DDFF">
      <w:pPr>
        <w:spacing w:line="360" w:lineRule="auto"/>
        <w:ind w:firstLine="470" w:firstLineChars="196"/>
        <w:rPr>
          <w:rFonts w:hint="eastAsia" w:ascii="仿宋" w:hAnsi="仿宋" w:eastAsia="仿宋" w:cs="仿宋"/>
          <w:sz w:val="24"/>
          <w:highlight w:val="none"/>
          <w:lang w:eastAsia="zh-CN"/>
        </w:rPr>
      </w:pPr>
    </w:p>
    <w:p w14:paraId="7B222EEA">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 xml:space="preserve">需方（章）：                               供方（章）： </w:t>
      </w:r>
    </w:p>
    <w:p w14:paraId="696EB872">
      <w:pPr>
        <w:spacing w:before="100" w:beforeAutospacing="1" w:after="100" w:afterAutospacing="1" w:line="360" w:lineRule="auto"/>
        <w:rPr>
          <w:rFonts w:hint="eastAsia" w:ascii="仿宋" w:hAnsi="仿宋" w:eastAsia="仿宋" w:cs="仿宋"/>
          <w:sz w:val="24"/>
          <w:highlight w:val="none"/>
        </w:rPr>
      </w:pPr>
      <w:r>
        <w:rPr>
          <w:rFonts w:hint="eastAsia" w:ascii="仿宋" w:hAnsi="仿宋" w:eastAsia="仿宋" w:cs="仿宋"/>
          <w:sz w:val="24"/>
          <w:highlight w:val="none"/>
        </w:rPr>
        <w:t>法人代表：                                法人代表：</w:t>
      </w:r>
    </w:p>
    <w:p w14:paraId="57A6EDEA">
      <w:pPr>
        <w:spacing w:before="100" w:beforeAutospacing="1" w:after="100" w:afterAutospacing="1" w:line="360" w:lineRule="auto"/>
        <w:rPr>
          <w:rFonts w:hint="eastAsia" w:ascii="仿宋" w:hAnsi="仿宋" w:eastAsia="仿宋" w:cs="仿宋"/>
          <w:sz w:val="24"/>
          <w:highlight w:val="none"/>
        </w:rPr>
      </w:pPr>
      <w:r>
        <w:rPr>
          <w:rFonts w:hint="eastAsia" w:ascii="仿宋" w:hAnsi="仿宋" w:eastAsia="仿宋" w:cs="仿宋"/>
          <w:sz w:val="24"/>
          <w:highlight w:val="none"/>
        </w:rPr>
        <w:t>委托代理人：                              委托代理人：</w:t>
      </w:r>
    </w:p>
    <w:p w14:paraId="3A02178E">
      <w:pPr>
        <w:spacing w:before="100" w:beforeAutospacing="1" w:line="360" w:lineRule="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地址：太原市坞城路92号                   地址：</w:t>
      </w:r>
    </w:p>
    <w:p w14:paraId="7D4E6B7D">
      <w:pPr>
        <w:spacing w:before="100" w:beforeAutospacing="1" w:line="360" w:lineRule="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电子邮箱：gzccg@sxu.edu.cn                电子邮箱：</w:t>
      </w:r>
    </w:p>
    <w:p w14:paraId="447E907F">
      <w:pPr>
        <w:spacing w:line="360" w:lineRule="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 话：0351-7011255                       电话：</w:t>
      </w:r>
    </w:p>
    <w:p w14:paraId="467A3C2A">
      <w:pPr>
        <w:spacing w:line="360" w:lineRule="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开户银行：工行大支(大营盘)                开户银行：</w:t>
      </w:r>
    </w:p>
    <w:p w14:paraId="5A6303E7">
      <w:pPr>
        <w:spacing w:line="360" w:lineRule="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银行账号：0502121809026401995             银行账号：</w:t>
      </w:r>
    </w:p>
    <w:p w14:paraId="23999D4C">
      <w:pPr>
        <w:spacing w:line="360" w:lineRule="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                 日期：   年    月    日</w:t>
      </w:r>
    </w:p>
    <w:p w14:paraId="5734210F">
      <w:pP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br w:type="page"/>
      </w:r>
    </w:p>
    <w:p w14:paraId="05E51BFD">
      <w:pPr>
        <w:spacing w:line="360" w:lineRule="auto"/>
        <w:rPr>
          <w:rFonts w:hint="eastAsia" w:ascii="仿宋" w:hAnsi="仿宋" w:eastAsia="仿宋" w:cs="仿宋"/>
          <w:sz w:val="24"/>
          <w:highlight w:val="none"/>
        </w:rPr>
      </w:pPr>
      <w:r>
        <w:rPr>
          <w:rFonts w:hint="eastAsia" w:ascii="仿宋" w:hAnsi="仿宋" w:eastAsia="仿宋" w:cs="仿宋"/>
          <w:sz w:val="24"/>
          <w:highlight w:val="none"/>
        </w:rPr>
        <w:t>附件一：</w:t>
      </w:r>
    </w:p>
    <w:p w14:paraId="416F5CBA">
      <w:pPr>
        <w:spacing w:line="360" w:lineRule="auto"/>
        <w:ind w:firstLine="120" w:firstLineChars="50"/>
        <w:jc w:val="center"/>
        <w:rPr>
          <w:rFonts w:hint="eastAsia" w:ascii="仿宋" w:hAnsi="仿宋" w:eastAsia="仿宋" w:cs="仿宋"/>
          <w:b/>
          <w:sz w:val="24"/>
          <w:highlight w:val="none"/>
        </w:rPr>
      </w:pPr>
      <w:r>
        <w:rPr>
          <w:rFonts w:hint="eastAsia" w:ascii="仿宋" w:hAnsi="仿宋" w:eastAsia="仿宋" w:cs="仿宋"/>
          <w:b/>
          <w:sz w:val="24"/>
          <w:highlight w:val="none"/>
        </w:rPr>
        <w:t>采购货物清单</w:t>
      </w:r>
    </w:p>
    <w:tbl>
      <w:tblPr>
        <w:tblStyle w:val="20"/>
        <w:tblW w:w="92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204"/>
        <w:gridCol w:w="936"/>
        <w:gridCol w:w="762"/>
        <w:gridCol w:w="699"/>
        <w:gridCol w:w="990"/>
        <w:gridCol w:w="836"/>
        <w:gridCol w:w="837"/>
        <w:gridCol w:w="1326"/>
        <w:gridCol w:w="894"/>
      </w:tblGrid>
      <w:tr w14:paraId="05FD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68451EAA">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序号</w:t>
            </w:r>
          </w:p>
        </w:tc>
        <w:tc>
          <w:tcPr>
            <w:tcW w:w="1204" w:type="dxa"/>
            <w:vAlign w:val="center"/>
          </w:tcPr>
          <w:p w14:paraId="3EB64A75">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货物名称</w:t>
            </w:r>
          </w:p>
        </w:tc>
        <w:tc>
          <w:tcPr>
            <w:tcW w:w="936" w:type="dxa"/>
          </w:tcPr>
          <w:p w14:paraId="72533727">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单价（元）</w:t>
            </w:r>
          </w:p>
        </w:tc>
        <w:tc>
          <w:tcPr>
            <w:tcW w:w="762" w:type="dxa"/>
            <w:vAlign w:val="center"/>
          </w:tcPr>
          <w:p w14:paraId="7D77CC66">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数量</w:t>
            </w:r>
          </w:p>
        </w:tc>
        <w:tc>
          <w:tcPr>
            <w:tcW w:w="699" w:type="dxa"/>
            <w:vAlign w:val="center"/>
          </w:tcPr>
          <w:p w14:paraId="77E9615C">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单位</w:t>
            </w:r>
          </w:p>
        </w:tc>
        <w:tc>
          <w:tcPr>
            <w:tcW w:w="990" w:type="dxa"/>
            <w:vAlign w:val="center"/>
          </w:tcPr>
          <w:p w14:paraId="4F48ED73">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合价（元）</w:t>
            </w:r>
          </w:p>
        </w:tc>
        <w:tc>
          <w:tcPr>
            <w:tcW w:w="836" w:type="dxa"/>
            <w:vAlign w:val="center"/>
          </w:tcPr>
          <w:p w14:paraId="3BCA2553">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品牌</w:t>
            </w:r>
          </w:p>
        </w:tc>
        <w:tc>
          <w:tcPr>
            <w:tcW w:w="837" w:type="dxa"/>
            <w:vAlign w:val="center"/>
          </w:tcPr>
          <w:p w14:paraId="5506C51B">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规格型号</w:t>
            </w:r>
          </w:p>
        </w:tc>
        <w:tc>
          <w:tcPr>
            <w:tcW w:w="1326" w:type="dxa"/>
            <w:vAlign w:val="center"/>
          </w:tcPr>
          <w:p w14:paraId="7FC4827C">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生产厂家</w:t>
            </w:r>
          </w:p>
        </w:tc>
        <w:tc>
          <w:tcPr>
            <w:tcW w:w="894" w:type="dxa"/>
            <w:vAlign w:val="center"/>
          </w:tcPr>
          <w:p w14:paraId="30CEBB8B">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产地</w:t>
            </w:r>
          </w:p>
        </w:tc>
      </w:tr>
      <w:tr w14:paraId="70A2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6DA0BCE1">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1204" w:type="dxa"/>
          </w:tcPr>
          <w:p w14:paraId="4A7AE286">
            <w:pPr>
              <w:spacing w:line="360" w:lineRule="auto"/>
              <w:rPr>
                <w:rFonts w:hint="eastAsia" w:ascii="仿宋" w:hAnsi="仿宋" w:eastAsia="仿宋" w:cs="仿宋"/>
                <w:sz w:val="24"/>
                <w:highlight w:val="none"/>
              </w:rPr>
            </w:pPr>
          </w:p>
        </w:tc>
        <w:tc>
          <w:tcPr>
            <w:tcW w:w="936" w:type="dxa"/>
          </w:tcPr>
          <w:p w14:paraId="6750FFFA">
            <w:pPr>
              <w:spacing w:line="360" w:lineRule="auto"/>
              <w:rPr>
                <w:rFonts w:hint="eastAsia" w:ascii="仿宋" w:hAnsi="仿宋" w:eastAsia="仿宋" w:cs="仿宋"/>
                <w:sz w:val="24"/>
                <w:highlight w:val="none"/>
              </w:rPr>
            </w:pPr>
          </w:p>
        </w:tc>
        <w:tc>
          <w:tcPr>
            <w:tcW w:w="762" w:type="dxa"/>
          </w:tcPr>
          <w:p w14:paraId="2978F6BC">
            <w:pPr>
              <w:spacing w:line="360" w:lineRule="auto"/>
              <w:rPr>
                <w:rFonts w:hint="eastAsia" w:ascii="仿宋" w:hAnsi="仿宋" w:eastAsia="仿宋" w:cs="仿宋"/>
                <w:sz w:val="24"/>
                <w:highlight w:val="none"/>
              </w:rPr>
            </w:pPr>
          </w:p>
        </w:tc>
        <w:tc>
          <w:tcPr>
            <w:tcW w:w="699" w:type="dxa"/>
          </w:tcPr>
          <w:p w14:paraId="209E46C4">
            <w:pPr>
              <w:spacing w:line="360" w:lineRule="auto"/>
              <w:rPr>
                <w:rFonts w:hint="eastAsia" w:ascii="仿宋" w:hAnsi="仿宋" w:eastAsia="仿宋" w:cs="仿宋"/>
                <w:sz w:val="24"/>
                <w:highlight w:val="none"/>
              </w:rPr>
            </w:pPr>
          </w:p>
        </w:tc>
        <w:tc>
          <w:tcPr>
            <w:tcW w:w="990" w:type="dxa"/>
          </w:tcPr>
          <w:p w14:paraId="730D9714">
            <w:pPr>
              <w:spacing w:line="360" w:lineRule="auto"/>
              <w:rPr>
                <w:rFonts w:hint="eastAsia" w:ascii="仿宋" w:hAnsi="仿宋" w:eastAsia="仿宋" w:cs="仿宋"/>
                <w:sz w:val="24"/>
                <w:highlight w:val="none"/>
              </w:rPr>
            </w:pPr>
          </w:p>
        </w:tc>
        <w:tc>
          <w:tcPr>
            <w:tcW w:w="836" w:type="dxa"/>
          </w:tcPr>
          <w:p w14:paraId="6B69DE36">
            <w:pPr>
              <w:spacing w:line="360" w:lineRule="auto"/>
              <w:rPr>
                <w:rFonts w:hint="eastAsia" w:ascii="仿宋" w:hAnsi="仿宋" w:eastAsia="仿宋" w:cs="仿宋"/>
                <w:sz w:val="24"/>
                <w:highlight w:val="none"/>
              </w:rPr>
            </w:pPr>
          </w:p>
        </w:tc>
        <w:tc>
          <w:tcPr>
            <w:tcW w:w="837" w:type="dxa"/>
          </w:tcPr>
          <w:p w14:paraId="577EB8E0">
            <w:pPr>
              <w:spacing w:line="360" w:lineRule="auto"/>
              <w:rPr>
                <w:rFonts w:hint="eastAsia" w:ascii="仿宋" w:hAnsi="仿宋" w:eastAsia="仿宋" w:cs="仿宋"/>
                <w:sz w:val="24"/>
                <w:highlight w:val="none"/>
              </w:rPr>
            </w:pPr>
          </w:p>
        </w:tc>
        <w:tc>
          <w:tcPr>
            <w:tcW w:w="1326" w:type="dxa"/>
          </w:tcPr>
          <w:p w14:paraId="33873B93">
            <w:pPr>
              <w:spacing w:line="360" w:lineRule="auto"/>
              <w:rPr>
                <w:rFonts w:hint="eastAsia" w:ascii="仿宋" w:hAnsi="仿宋" w:eastAsia="仿宋" w:cs="仿宋"/>
                <w:sz w:val="24"/>
                <w:highlight w:val="none"/>
              </w:rPr>
            </w:pPr>
          </w:p>
        </w:tc>
        <w:tc>
          <w:tcPr>
            <w:tcW w:w="894" w:type="dxa"/>
          </w:tcPr>
          <w:p w14:paraId="660533D7">
            <w:pPr>
              <w:spacing w:line="360" w:lineRule="auto"/>
              <w:rPr>
                <w:rFonts w:hint="eastAsia" w:ascii="仿宋" w:hAnsi="仿宋" w:eastAsia="仿宋" w:cs="仿宋"/>
                <w:sz w:val="24"/>
                <w:highlight w:val="none"/>
              </w:rPr>
            </w:pPr>
          </w:p>
        </w:tc>
      </w:tr>
      <w:tr w14:paraId="3BF1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2E418EFE">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2</w:t>
            </w:r>
          </w:p>
        </w:tc>
        <w:tc>
          <w:tcPr>
            <w:tcW w:w="1204" w:type="dxa"/>
          </w:tcPr>
          <w:p w14:paraId="2417801D">
            <w:pPr>
              <w:spacing w:line="360" w:lineRule="auto"/>
              <w:rPr>
                <w:rFonts w:hint="eastAsia" w:ascii="仿宋" w:hAnsi="仿宋" w:eastAsia="仿宋" w:cs="仿宋"/>
                <w:sz w:val="24"/>
                <w:highlight w:val="none"/>
              </w:rPr>
            </w:pPr>
          </w:p>
        </w:tc>
        <w:tc>
          <w:tcPr>
            <w:tcW w:w="936" w:type="dxa"/>
          </w:tcPr>
          <w:p w14:paraId="349AAA35">
            <w:pPr>
              <w:spacing w:line="360" w:lineRule="auto"/>
              <w:rPr>
                <w:rFonts w:hint="eastAsia" w:ascii="仿宋" w:hAnsi="仿宋" w:eastAsia="仿宋" w:cs="仿宋"/>
                <w:sz w:val="24"/>
                <w:highlight w:val="none"/>
              </w:rPr>
            </w:pPr>
          </w:p>
        </w:tc>
        <w:tc>
          <w:tcPr>
            <w:tcW w:w="762" w:type="dxa"/>
          </w:tcPr>
          <w:p w14:paraId="2C808CA5">
            <w:pPr>
              <w:spacing w:line="360" w:lineRule="auto"/>
              <w:rPr>
                <w:rFonts w:hint="eastAsia" w:ascii="仿宋" w:hAnsi="仿宋" w:eastAsia="仿宋" w:cs="仿宋"/>
                <w:sz w:val="24"/>
                <w:highlight w:val="none"/>
              </w:rPr>
            </w:pPr>
          </w:p>
        </w:tc>
        <w:tc>
          <w:tcPr>
            <w:tcW w:w="699" w:type="dxa"/>
          </w:tcPr>
          <w:p w14:paraId="5AA0642A">
            <w:pPr>
              <w:spacing w:line="360" w:lineRule="auto"/>
              <w:rPr>
                <w:rFonts w:hint="eastAsia" w:ascii="仿宋" w:hAnsi="仿宋" w:eastAsia="仿宋" w:cs="仿宋"/>
                <w:sz w:val="24"/>
                <w:highlight w:val="none"/>
              </w:rPr>
            </w:pPr>
          </w:p>
        </w:tc>
        <w:tc>
          <w:tcPr>
            <w:tcW w:w="990" w:type="dxa"/>
          </w:tcPr>
          <w:p w14:paraId="562F915F">
            <w:pPr>
              <w:spacing w:line="360" w:lineRule="auto"/>
              <w:rPr>
                <w:rFonts w:hint="eastAsia" w:ascii="仿宋" w:hAnsi="仿宋" w:eastAsia="仿宋" w:cs="仿宋"/>
                <w:sz w:val="24"/>
                <w:highlight w:val="none"/>
              </w:rPr>
            </w:pPr>
          </w:p>
        </w:tc>
        <w:tc>
          <w:tcPr>
            <w:tcW w:w="836" w:type="dxa"/>
          </w:tcPr>
          <w:p w14:paraId="79E8DBD9">
            <w:pPr>
              <w:spacing w:line="360" w:lineRule="auto"/>
              <w:rPr>
                <w:rFonts w:hint="eastAsia" w:ascii="仿宋" w:hAnsi="仿宋" w:eastAsia="仿宋" w:cs="仿宋"/>
                <w:sz w:val="24"/>
                <w:highlight w:val="none"/>
              </w:rPr>
            </w:pPr>
          </w:p>
        </w:tc>
        <w:tc>
          <w:tcPr>
            <w:tcW w:w="837" w:type="dxa"/>
          </w:tcPr>
          <w:p w14:paraId="75471B13">
            <w:pPr>
              <w:spacing w:line="360" w:lineRule="auto"/>
              <w:rPr>
                <w:rFonts w:hint="eastAsia" w:ascii="仿宋" w:hAnsi="仿宋" w:eastAsia="仿宋" w:cs="仿宋"/>
                <w:sz w:val="24"/>
                <w:highlight w:val="none"/>
              </w:rPr>
            </w:pPr>
          </w:p>
        </w:tc>
        <w:tc>
          <w:tcPr>
            <w:tcW w:w="1326" w:type="dxa"/>
          </w:tcPr>
          <w:p w14:paraId="43E6A2DC">
            <w:pPr>
              <w:spacing w:line="360" w:lineRule="auto"/>
              <w:rPr>
                <w:rFonts w:hint="eastAsia" w:ascii="仿宋" w:hAnsi="仿宋" w:eastAsia="仿宋" w:cs="仿宋"/>
                <w:sz w:val="24"/>
                <w:highlight w:val="none"/>
              </w:rPr>
            </w:pPr>
          </w:p>
        </w:tc>
        <w:tc>
          <w:tcPr>
            <w:tcW w:w="894" w:type="dxa"/>
          </w:tcPr>
          <w:p w14:paraId="0202AE9D">
            <w:pPr>
              <w:spacing w:line="360" w:lineRule="auto"/>
              <w:rPr>
                <w:rFonts w:hint="eastAsia" w:ascii="仿宋" w:hAnsi="仿宋" w:eastAsia="仿宋" w:cs="仿宋"/>
                <w:sz w:val="24"/>
                <w:highlight w:val="none"/>
              </w:rPr>
            </w:pPr>
          </w:p>
        </w:tc>
      </w:tr>
      <w:tr w14:paraId="013B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36AD17D4">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3</w:t>
            </w:r>
          </w:p>
        </w:tc>
        <w:tc>
          <w:tcPr>
            <w:tcW w:w="1204" w:type="dxa"/>
          </w:tcPr>
          <w:p w14:paraId="2977ED1E">
            <w:pPr>
              <w:spacing w:line="360" w:lineRule="auto"/>
              <w:rPr>
                <w:rFonts w:hint="eastAsia" w:ascii="仿宋" w:hAnsi="仿宋" w:eastAsia="仿宋" w:cs="仿宋"/>
                <w:sz w:val="24"/>
                <w:highlight w:val="none"/>
              </w:rPr>
            </w:pPr>
          </w:p>
        </w:tc>
        <w:tc>
          <w:tcPr>
            <w:tcW w:w="936" w:type="dxa"/>
          </w:tcPr>
          <w:p w14:paraId="78D06E36">
            <w:pPr>
              <w:spacing w:line="360" w:lineRule="auto"/>
              <w:rPr>
                <w:rFonts w:hint="eastAsia" w:ascii="仿宋" w:hAnsi="仿宋" w:eastAsia="仿宋" w:cs="仿宋"/>
                <w:sz w:val="24"/>
                <w:highlight w:val="none"/>
              </w:rPr>
            </w:pPr>
          </w:p>
        </w:tc>
        <w:tc>
          <w:tcPr>
            <w:tcW w:w="762" w:type="dxa"/>
          </w:tcPr>
          <w:p w14:paraId="6F211768">
            <w:pPr>
              <w:spacing w:line="360" w:lineRule="auto"/>
              <w:rPr>
                <w:rFonts w:hint="eastAsia" w:ascii="仿宋" w:hAnsi="仿宋" w:eastAsia="仿宋" w:cs="仿宋"/>
                <w:sz w:val="24"/>
                <w:highlight w:val="none"/>
              </w:rPr>
            </w:pPr>
          </w:p>
        </w:tc>
        <w:tc>
          <w:tcPr>
            <w:tcW w:w="699" w:type="dxa"/>
          </w:tcPr>
          <w:p w14:paraId="638BF27B">
            <w:pPr>
              <w:spacing w:line="360" w:lineRule="auto"/>
              <w:rPr>
                <w:rFonts w:hint="eastAsia" w:ascii="仿宋" w:hAnsi="仿宋" w:eastAsia="仿宋" w:cs="仿宋"/>
                <w:sz w:val="24"/>
                <w:highlight w:val="none"/>
              </w:rPr>
            </w:pPr>
          </w:p>
        </w:tc>
        <w:tc>
          <w:tcPr>
            <w:tcW w:w="990" w:type="dxa"/>
          </w:tcPr>
          <w:p w14:paraId="0AE242B6">
            <w:pPr>
              <w:spacing w:line="360" w:lineRule="auto"/>
              <w:rPr>
                <w:rFonts w:hint="eastAsia" w:ascii="仿宋" w:hAnsi="仿宋" w:eastAsia="仿宋" w:cs="仿宋"/>
                <w:sz w:val="24"/>
                <w:highlight w:val="none"/>
              </w:rPr>
            </w:pPr>
          </w:p>
        </w:tc>
        <w:tc>
          <w:tcPr>
            <w:tcW w:w="836" w:type="dxa"/>
          </w:tcPr>
          <w:p w14:paraId="2525F46B">
            <w:pPr>
              <w:spacing w:line="360" w:lineRule="auto"/>
              <w:rPr>
                <w:rFonts w:hint="eastAsia" w:ascii="仿宋" w:hAnsi="仿宋" w:eastAsia="仿宋" w:cs="仿宋"/>
                <w:sz w:val="24"/>
                <w:highlight w:val="none"/>
              </w:rPr>
            </w:pPr>
          </w:p>
        </w:tc>
        <w:tc>
          <w:tcPr>
            <w:tcW w:w="837" w:type="dxa"/>
          </w:tcPr>
          <w:p w14:paraId="3C1E7E78">
            <w:pPr>
              <w:spacing w:line="360" w:lineRule="auto"/>
              <w:rPr>
                <w:rFonts w:hint="eastAsia" w:ascii="仿宋" w:hAnsi="仿宋" w:eastAsia="仿宋" w:cs="仿宋"/>
                <w:sz w:val="24"/>
                <w:highlight w:val="none"/>
              </w:rPr>
            </w:pPr>
          </w:p>
        </w:tc>
        <w:tc>
          <w:tcPr>
            <w:tcW w:w="1326" w:type="dxa"/>
          </w:tcPr>
          <w:p w14:paraId="78E69403">
            <w:pPr>
              <w:spacing w:line="360" w:lineRule="auto"/>
              <w:rPr>
                <w:rFonts w:hint="eastAsia" w:ascii="仿宋" w:hAnsi="仿宋" w:eastAsia="仿宋" w:cs="仿宋"/>
                <w:sz w:val="24"/>
                <w:highlight w:val="none"/>
              </w:rPr>
            </w:pPr>
          </w:p>
        </w:tc>
        <w:tc>
          <w:tcPr>
            <w:tcW w:w="894" w:type="dxa"/>
          </w:tcPr>
          <w:p w14:paraId="40C92FCD">
            <w:pPr>
              <w:spacing w:line="360" w:lineRule="auto"/>
              <w:rPr>
                <w:rFonts w:hint="eastAsia" w:ascii="仿宋" w:hAnsi="仿宋" w:eastAsia="仿宋" w:cs="仿宋"/>
                <w:sz w:val="24"/>
                <w:highlight w:val="none"/>
              </w:rPr>
            </w:pPr>
          </w:p>
        </w:tc>
      </w:tr>
      <w:tr w14:paraId="51AE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6619D890">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4</w:t>
            </w:r>
          </w:p>
        </w:tc>
        <w:tc>
          <w:tcPr>
            <w:tcW w:w="1204" w:type="dxa"/>
          </w:tcPr>
          <w:p w14:paraId="0895FDAF">
            <w:pPr>
              <w:spacing w:line="360" w:lineRule="auto"/>
              <w:rPr>
                <w:rFonts w:hint="eastAsia" w:ascii="仿宋" w:hAnsi="仿宋" w:eastAsia="仿宋" w:cs="仿宋"/>
                <w:sz w:val="24"/>
                <w:highlight w:val="none"/>
              </w:rPr>
            </w:pPr>
          </w:p>
        </w:tc>
        <w:tc>
          <w:tcPr>
            <w:tcW w:w="936" w:type="dxa"/>
          </w:tcPr>
          <w:p w14:paraId="7D31DAB1">
            <w:pPr>
              <w:spacing w:line="360" w:lineRule="auto"/>
              <w:rPr>
                <w:rFonts w:hint="eastAsia" w:ascii="仿宋" w:hAnsi="仿宋" w:eastAsia="仿宋" w:cs="仿宋"/>
                <w:sz w:val="24"/>
                <w:highlight w:val="none"/>
              </w:rPr>
            </w:pPr>
          </w:p>
        </w:tc>
        <w:tc>
          <w:tcPr>
            <w:tcW w:w="762" w:type="dxa"/>
          </w:tcPr>
          <w:p w14:paraId="7C9FBA5F">
            <w:pPr>
              <w:spacing w:line="360" w:lineRule="auto"/>
              <w:rPr>
                <w:rFonts w:hint="eastAsia" w:ascii="仿宋" w:hAnsi="仿宋" w:eastAsia="仿宋" w:cs="仿宋"/>
                <w:sz w:val="24"/>
                <w:highlight w:val="none"/>
              </w:rPr>
            </w:pPr>
          </w:p>
        </w:tc>
        <w:tc>
          <w:tcPr>
            <w:tcW w:w="699" w:type="dxa"/>
          </w:tcPr>
          <w:p w14:paraId="16BDDB4E">
            <w:pPr>
              <w:spacing w:line="360" w:lineRule="auto"/>
              <w:rPr>
                <w:rFonts w:hint="eastAsia" w:ascii="仿宋" w:hAnsi="仿宋" w:eastAsia="仿宋" w:cs="仿宋"/>
                <w:sz w:val="24"/>
                <w:highlight w:val="none"/>
              </w:rPr>
            </w:pPr>
          </w:p>
        </w:tc>
        <w:tc>
          <w:tcPr>
            <w:tcW w:w="990" w:type="dxa"/>
          </w:tcPr>
          <w:p w14:paraId="0C92FE81">
            <w:pPr>
              <w:spacing w:line="360" w:lineRule="auto"/>
              <w:rPr>
                <w:rFonts w:hint="eastAsia" w:ascii="仿宋" w:hAnsi="仿宋" w:eastAsia="仿宋" w:cs="仿宋"/>
                <w:sz w:val="24"/>
                <w:highlight w:val="none"/>
              </w:rPr>
            </w:pPr>
          </w:p>
        </w:tc>
        <w:tc>
          <w:tcPr>
            <w:tcW w:w="836" w:type="dxa"/>
          </w:tcPr>
          <w:p w14:paraId="7E3A530E">
            <w:pPr>
              <w:spacing w:line="360" w:lineRule="auto"/>
              <w:rPr>
                <w:rFonts w:hint="eastAsia" w:ascii="仿宋" w:hAnsi="仿宋" w:eastAsia="仿宋" w:cs="仿宋"/>
                <w:sz w:val="24"/>
                <w:highlight w:val="none"/>
              </w:rPr>
            </w:pPr>
          </w:p>
        </w:tc>
        <w:tc>
          <w:tcPr>
            <w:tcW w:w="837" w:type="dxa"/>
          </w:tcPr>
          <w:p w14:paraId="1E914922">
            <w:pPr>
              <w:spacing w:line="360" w:lineRule="auto"/>
              <w:rPr>
                <w:rFonts w:hint="eastAsia" w:ascii="仿宋" w:hAnsi="仿宋" w:eastAsia="仿宋" w:cs="仿宋"/>
                <w:sz w:val="24"/>
                <w:highlight w:val="none"/>
              </w:rPr>
            </w:pPr>
          </w:p>
        </w:tc>
        <w:tc>
          <w:tcPr>
            <w:tcW w:w="1326" w:type="dxa"/>
          </w:tcPr>
          <w:p w14:paraId="46AF595E">
            <w:pPr>
              <w:spacing w:line="360" w:lineRule="auto"/>
              <w:rPr>
                <w:rFonts w:hint="eastAsia" w:ascii="仿宋" w:hAnsi="仿宋" w:eastAsia="仿宋" w:cs="仿宋"/>
                <w:sz w:val="24"/>
                <w:highlight w:val="none"/>
              </w:rPr>
            </w:pPr>
          </w:p>
        </w:tc>
        <w:tc>
          <w:tcPr>
            <w:tcW w:w="894" w:type="dxa"/>
          </w:tcPr>
          <w:p w14:paraId="500457F2">
            <w:pPr>
              <w:spacing w:line="360" w:lineRule="auto"/>
              <w:rPr>
                <w:rFonts w:hint="eastAsia" w:ascii="仿宋" w:hAnsi="仿宋" w:eastAsia="仿宋" w:cs="仿宋"/>
                <w:sz w:val="24"/>
                <w:highlight w:val="none"/>
              </w:rPr>
            </w:pPr>
          </w:p>
        </w:tc>
      </w:tr>
      <w:tr w14:paraId="53D8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357726DB">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5</w:t>
            </w:r>
          </w:p>
        </w:tc>
        <w:tc>
          <w:tcPr>
            <w:tcW w:w="1204" w:type="dxa"/>
          </w:tcPr>
          <w:p w14:paraId="371A7FD8">
            <w:pPr>
              <w:spacing w:line="360" w:lineRule="auto"/>
              <w:rPr>
                <w:rFonts w:hint="eastAsia" w:ascii="仿宋" w:hAnsi="仿宋" w:eastAsia="仿宋" w:cs="仿宋"/>
                <w:sz w:val="24"/>
                <w:highlight w:val="none"/>
              </w:rPr>
            </w:pPr>
          </w:p>
        </w:tc>
        <w:tc>
          <w:tcPr>
            <w:tcW w:w="936" w:type="dxa"/>
          </w:tcPr>
          <w:p w14:paraId="0EA7449C">
            <w:pPr>
              <w:spacing w:line="360" w:lineRule="auto"/>
              <w:rPr>
                <w:rFonts w:hint="eastAsia" w:ascii="仿宋" w:hAnsi="仿宋" w:eastAsia="仿宋" w:cs="仿宋"/>
                <w:sz w:val="24"/>
                <w:highlight w:val="none"/>
              </w:rPr>
            </w:pPr>
          </w:p>
        </w:tc>
        <w:tc>
          <w:tcPr>
            <w:tcW w:w="762" w:type="dxa"/>
          </w:tcPr>
          <w:p w14:paraId="41FFBE8F">
            <w:pPr>
              <w:spacing w:line="360" w:lineRule="auto"/>
              <w:rPr>
                <w:rFonts w:hint="eastAsia" w:ascii="仿宋" w:hAnsi="仿宋" w:eastAsia="仿宋" w:cs="仿宋"/>
                <w:sz w:val="24"/>
                <w:highlight w:val="none"/>
              </w:rPr>
            </w:pPr>
          </w:p>
        </w:tc>
        <w:tc>
          <w:tcPr>
            <w:tcW w:w="699" w:type="dxa"/>
          </w:tcPr>
          <w:p w14:paraId="0B3E3C09">
            <w:pPr>
              <w:spacing w:line="360" w:lineRule="auto"/>
              <w:rPr>
                <w:rFonts w:hint="eastAsia" w:ascii="仿宋" w:hAnsi="仿宋" w:eastAsia="仿宋" w:cs="仿宋"/>
                <w:sz w:val="24"/>
                <w:highlight w:val="none"/>
              </w:rPr>
            </w:pPr>
          </w:p>
        </w:tc>
        <w:tc>
          <w:tcPr>
            <w:tcW w:w="990" w:type="dxa"/>
          </w:tcPr>
          <w:p w14:paraId="6D91CEB4">
            <w:pPr>
              <w:spacing w:line="360" w:lineRule="auto"/>
              <w:rPr>
                <w:rFonts w:hint="eastAsia" w:ascii="仿宋" w:hAnsi="仿宋" w:eastAsia="仿宋" w:cs="仿宋"/>
                <w:sz w:val="24"/>
                <w:highlight w:val="none"/>
              </w:rPr>
            </w:pPr>
          </w:p>
        </w:tc>
        <w:tc>
          <w:tcPr>
            <w:tcW w:w="836" w:type="dxa"/>
          </w:tcPr>
          <w:p w14:paraId="0DB3BA64">
            <w:pPr>
              <w:spacing w:line="360" w:lineRule="auto"/>
              <w:rPr>
                <w:rFonts w:hint="eastAsia" w:ascii="仿宋" w:hAnsi="仿宋" w:eastAsia="仿宋" w:cs="仿宋"/>
                <w:sz w:val="24"/>
                <w:highlight w:val="none"/>
              </w:rPr>
            </w:pPr>
          </w:p>
        </w:tc>
        <w:tc>
          <w:tcPr>
            <w:tcW w:w="837" w:type="dxa"/>
          </w:tcPr>
          <w:p w14:paraId="4302507D">
            <w:pPr>
              <w:spacing w:line="360" w:lineRule="auto"/>
              <w:rPr>
                <w:rFonts w:hint="eastAsia" w:ascii="仿宋" w:hAnsi="仿宋" w:eastAsia="仿宋" w:cs="仿宋"/>
                <w:sz w:val="24"/>
                <w:highlight w:val="none"/>
              </w:rPr>
            </w:pPr>
          </w:p>
        </w:tc>
        <w:tc>
          <w:tcPr>
            <w:tcW w:w="1326" w:type="dxa"/>
          </w:tcPr>
          <w:p w14:paraId="4AD6B429">
            <w:pPr>
              <w:spacing w:line="360" w:lineRule="auto"/>
              <w:rPr>
                <w:rFonts w:hint="eastAsia" w:ascii="仿宋" w:hAnsi="仿宋" w:eastAsia="仿宋" w:cs="仿宋"/>
                <w:sz w:val="24"/>
                <w:highlight w:val="none"/>
              </w:rPr>
            </w:pPr>
          </w:p>
        </w:tc>
        <w:tc>
          <w:tcPr>
            <w:tcW w:w="894" w:type="dxa"/>
          </w:tcPr>
          <w:p w14:paraId="29CA6030">
            <w:pPr>
              <w:spacing w:line="360" w:lineRule="auto"/>
              <w:rPr>
                <w:rFonts w:hint="eastAsia" w:ascii="仿宋" w:hAnsi="仿宋" w:eastAsia="仿宋" w:cs="仿宋"/>
                <w:sz w:val="24"/>
                <w:highlight w:val="none"/>
              </w:rPr>
            </w:pPr>
          </w:p>
        </w:tc>
      </w:tr>
      <w:tr w14:paraId="66FA6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418ACE33">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w:t>
            </w:r>
          </w:p>
        </w:tc>
        <w:tc>
          <w:tcPr>
            <w:tcW w:w="1204" w:type="dxa"/>
          </w:tcPr>
          <w:p w14:paraId="05156262">
            <w:pPr>
              <w:spacing w:line="360" w:lineRule="auto"/>
              <w:rPr>
                <w:rFonts w:hint="eastAsia" w:ascii="仿宋" w:hAnsi="仿宋" w:eastAsia="仿宋" w:cs="仿宋"/>
                <w:sz w:val="24"/>
                <w:highlight w:val="none"/>
              </w:rPr>
            </w:pPr>
          </w:p>
        </w:tc>
        <w:tc>
          <w:tcPr>
            <w:tcW w:w="936" w:type="dxa"/>
          </w:tcPr>
          <w:p w14:paraId="206BF3A3">
            <w:pPr>
              <w:spacing w:line="360" w:lineRule="auto"/>
              <w:rPr>
                <w:rFonts w:hint="eastAsia" w:ascii="仿宋" w:hAnsi="仿宋" w:eastAsia="仿宋" w:cs="仿宋"/>
                <w:sz w:val="24"/>
                <w:highlight w:val="none"/>
              </w:rPr>
            </w:pPr>
          </w:p>
        </w:tc>
        <w:tc>
          <w:tcPr>
            <w:tcW w:w="762" w:type="dxa"/>
          </w:tcPr>
          <w:p w14:paraId="686E8A3B">
            <w:pPr>
              <w:spacing w:line="360" w:lineRule="auto"/>
              <w:rPr>
                <w:rFonts w:hint="eastAsia" w:ascii="仿宋" w:hAnsi="仿宋" w:eastAsia="仿宋" w:cs="仿宋"/>
                <w:sz w:val="24"/>
                <w:highlight w:val="none"/>
              </w:rPr>
            </w:pPr>
          </w:p>
        </w:tc>
        <w:tc>
          <w:tcPr>
            <w:tcW w:w="699" w:type="dxa"/>
          </w:tcPr>
          <w:p w14:paraId="73B9E75A">
            <w:pPr>
              <w:spacing w:line="360" w:lineRule="auto"/>
              <w:rPr>
                <w:rFonts w:hint="eastAsia" w:ascii="仿宋" w:hAnsi="仿宋" w:eastAsia="仿宋" w:cs="仿宋"/>
                <w:sz w:val="24"/>
                <w:highlight w:val="none"/>
              </w:rPr>
            </w:pPr>
          </w:p>
        </w:tc>
        <w:tc>
          <w:tcPr>
            <w:tcW w:w="990" w:type="dxa"/>
          </w:tcPr>
          <w:p w14:paraId="3DED5371">
            <w:pPr>
              <w:spacing w:line="360" w:lineRule="auto"/>
              <w:rPr>
                <w:rFonts w:hint="eastAsia" w:ascii="仿宋" w:hAnsi="仿宋" w:eastAsia="仿宋" w:cs="仿宋"/>
                <w:sz w:val="24"/>
                <w:highlight w:val="none"/>
              </w:rPr>
            </w:pPr>
          </w:p>
        </w:tc>
        <w:tc>
          <w:tcPr>
            <w:tcW w:w="836" w:type="dxa"/>
          </w:tcPr>
          <w:p w14:paraId="54A6F7AE">
            <w:pPr>
              <w:spacing w:line="360" w:lineRule="auto"/>
              <w:rPr>
                <w:rFonts w:hint="eastAsia" w:ascii="仿宋" w:hAnsi="仿宋" w:eastAsia="仿宋" w:cs="仿宋"/>
                <w:sz w:val="24"/>
                <w:highlight w:val="none"/>
              </w:rPr>
            </w:pPr>
          </w:p>
        </w:tc>
        <w:tc>
          <w:tcPr>
            <w:tcW w:w="837" w:type="dxa"/>
          </w:tcPr>
          <w:p w14:paraId="2478C20D">
            <w:pPr>
              <w:spacing w:line="360" w:lineRule="auto"/>
              <w:rPr>
                <w:rFonts w:hint="eastAsia" w:ascii="仿宋" w:hAnsi="仿宋" w:eastAsia="仿宋" w:cs="仿宋"/>
                <w:sz w:val="24"/>
                <w:highlight w:val="none"/>
              </w:rPr>
            </w:pPr>
          </w:p>
        </w:tc>
        <w:tc>
          <w:tcPr>
            <w:tcW w:w="1326" w:type="dxa"/>
          </w:tcPr>
          <w:p w14:paraId="47B93F85">
            <w:pPr>
              <w:spacing w:line="360" w:lineRule="auto"/>
              <w:rPr>
                <w:rFonts w:hint="eastAsia" w:ascii="仿宋" w:hAnsi="仿宋" w:eastAsia="仿宋" w:cs="仿宋"/>
                <w:sz w:val="24"/>
                <w:highlight w:val="none"/>
              </w:rPr>
            </w:pPr>
          </w:p>
        </w:tc>
        <w:tc>
          <w:tcPr>
            <w:tcW w:w="894" w:type="dxa"/>
          </w:tcPr>
          <w:p w14:paraId="28C6A025">
            <w:pPr>
              <w:spacing w:line="360" w:lineRule="auto"/>
              <w:rPr>
                <w:rFonts w:hint="eastAsia" w:ascii="仿宋" w:hAnsi="仿宋" w:eastAsia="仿宋" w:cs="仿宋"/>
                <w:sz w:val="24"/>
                <w:highlight w:val="none"/>
              </w:rPr>
            </w:pPr>
          </w:p>
        </w:tc>
      </w:tr>
      <w:tr w14:paraId="4407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1" w:type="dxa"/>
            <w:gridSpan w:val="2"/>
          </w:tcPr>
          <w:p w14:paraId="2E96A95B">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合计</w:t>
            </w:r>
          </w:p>
        </w:tc>
        <w:tc>
          <w:tcPr>
            <w:tcW w:w="7280" w:type="dxa"/>
            <w:gridSpan w:val="8"/>
          </w:tcPr>
          <w:p w14:paraId="64EBC593">
            <w:pPr>
              <w:spacing w:line="360" w:lineRule="auto"/>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大写：                （含税价）   小写: ￥</w:t>
            </w:r>
          </w:p>
        </w:tc>
      </w:tr>
    </w:tbl>
    <w:p w14:paraId="6D715DC9">
      <w:pPr>
        <w:spacing w:line="360" w:lineRule="auto"/>
        <w:rPr>
          <w:rFonts w:hint="eastAsia" w:ascii="仿宋" w:hAnsi="仿宋" w:eastAsia="仿宋" w:cs="仿宋"/>
          <w:sz w:val="24"/>
          <w:highlight w:val="none"/>
          <w:lang w:eastAsia="zh-CN"/>
        </w:rPr>
      </w:pPr>
    </w:p>
    <w:p w14:paraId="3127E873">
      <w:pP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br w:type="page"/>
      </w:r>
    </w:p>
    <w:p w14:paraId="630D4424">
      <w:pPr>
        <w:spacing w:line="360" w:lineRule="auto"/>
        <w:rPr>
          <w:rFonts w:hint="eastAsia" w:ascii="仿宋" w:hAnsi="仿宋" w:eastAsia="仿宋" w:cs="仿宋"/>
          <w:sz w:val="24"/>
          <w:highlight w:val="none"/>
        </w:rPr>
      </w:pPr>
      <w:r>
        <w:rPr>
          <w:rFonts w:hint="eastAsia" w:ascii="仿宋" w:hAnsi="仿宋" w:eastAsia="仿宋" w:cs="仿宋"/>
          <w:sz w:val="24"/>
          <w:highlight w:val="none"/>
        </w:rPr>
        <w:t>附件二：</w:t>
      </w:r>
    </w:p>
    <w:p w14:paraId="0EFBF40B">
      <w:pPr>
        <w:spacing w:line="360" w:lineRule="auto"/>
        <w:jc w:val="center"/>
        <w:rPr>
          <w:rFonts w:hint="eastAsia" w:ascii="仿宋" w:hAnsi="仿宋" w:eastAsia="仿宋" w:cs="仿宋"/>
          <w:b/>
          <w:sz w:val="24"/>
          <w:highlight w:val="none"/>
        </w:rPr>
      </w:pPr>
      <w:r>
        <w:rPr>
          <w:rFonts w:hint="eastAsia" w:ascii="仿宋" w:hAnsi="仿宋" w:eastAsia="仿宋" w:cs="仿宋"/>
          <w:b/>
          <w:sz w:val="24"/>
          <w:highlight w:val="none"/>
        </w:rPr>
        <w:t>货物技术参数</w:t>
      </w:r>
    </w:p>
    <w:tbl>
      <w:tblPr>
        <w:tblStyle w:val="20"/>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272"/>
        <w:gridCol w:w="715"/>
        <w:gridCol w:w="4205"/>
        <w:gridCol w:w="1043"/>
        <w:gridCol w:w="1414"/>
      </w:tblGrid>
      <w:tr w14:paraId="52FF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72CE111A">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序号</w:t>
            </w:r>
          </w:p>
        </w:tc>
        <w:tc>
          <w:tcPr>
            <w:tcW w:w="1272" w:type="dxa"/>
          </w:tcPr>
          <w:p w14:paraId="6672FABE">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货物名称</w:t>
            </w:r>
          </w:p>
        </w:tc>
        <w:tc>
          <w:tcPr>
            <w:tcW w:w="715" w:type="dxa"/>
          </w:tcPr>
          <w:p w14:paraId="640A453B">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品牌</w:t>
            </w:r>
          </w:p>
        </w:tc>
        <w:tc>
          <w:tcPr>
            <w:tcW w:w="4205" w:type="dxa"/>
          </w:tcPr>
          <w:p w14:paraId="790ECC16">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技术参数</w:t>
            </w:r>
          </w:p>
        </w:tc>
        <w:tc>
          <w:tcPr>
            <w:tcW w:w="1043" w:type="dxa"/>
          </w:tcPr>
          <w:p w14:paraId="47B85829">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质保期</w:t>
            </w:r>
          </w:p>
        </w:tc>
        <w:tc>
          <w:tcPr>
            <w:tcW w:w="1414" w:type="dxa"/>
          </w:tcPr>
          <w:p w14:paraId="061AF397">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交货时间</w:t>
            </w:r>
          </w:p>
        </w:tc>
      </w:tr>
      <w:tr w14:paraId="114C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33DFB314">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1272" w:type="dxa"/>
          </w:tcPr>
          <w:p w14:paraId="27E5C4C2">
            <w:pPr>
              <w:spacing w:line="360" w:lineRule="auto"/>
              <w:rPr>
                <w:rFonts w:hint="eastAsia" w:ascii="仿宋" w:hAnsi="仿宋" w:eastAsia="仿宋" w:cs="仿宋"/>
                <w:sz w:val="24"/>
                <w:highlight w:val="none"/>
              </w:rPr>
            </w:pPr>
          </w:p>
        </w:tc>
        <w:tc>
          <w:tcPr>
            <w:tcW w:w="715" w:type="dxa"/>
          </w:tcPr>
          <w:p w14:paraId="34BA0CAF">
            <w:pPr>
              <w:spacing w:line="360" w:lineRule="auto"/>
              <w:rPr>
                <w:rFonts w:hint="eastAsia" w:ascii="仿宋" w:hAnsi="仿宋" w:eastAsia="仿宋" w:cs="仿宋"/>
                <w:sz w:val="24"/>
                <w:highlight w:val="none"/>
              </w:rPr>
            </w:pPr>
          </w:p>
        </w:tc>
        <w:tc>
          <w:tcPr>
            <w:tcW w:w="4205" w:type="dxa"/>
          </w:tcPr>
          <w:p w14:paraId="608576FB">
            <w:pPr>
              <w:spacing w:line="360" w:lineRule="auto"/>
              <w:rPr>
                <w:rFonts w:hint="eastAsia" w:ascii="仿宋" w:hAnsi="仿宋" w:eastAsia="仿宋" w:cs="仿宋"/>
                <w:sz w:val="24"/>
                <w:highlight w:val="none"/>
              </w:rPr>
            </w:pPr>
          </w:p>
        </w:tc>
        <w:tc>
          <w:tcPr>
            <w:tcW w:w="1043" w:type="dxa"/>
          </w:tcPr>
          <w:p w14:paraId="7B325A1D">
            <w:pPr>
              <w:spacing w:line="360" w:lineRule="auto"/>
              <w:rPr>
                <w:rFonts w:hint="eastAsia" w:ascii="仿宋" w:hAnsi="仿宋" w:eastAsia="仿宋" w:cs="仿宋"/>
                <w:sz w:val="24"/>
                <w:highlight w:val="none"/>
              </w:rPr>
            </w:pPr>
          </w:p>
        </w:tc>
        <w:tc>
          <w:tcPr>
            <w:tcW w:w="1414" w:type="dxa"/>
          </w:tcPr>
          <w:p w14:paraId="55B8100E">
            <w:pPr>
              <w:spacing w:line="360" w:lineRule="auto"/>
              <w:rPr>
                <w:rFonts w:hint="eastAsia" w:ascii="仿宋" w:hAnsi="仿宋" w:eastAsia="仿宋" w:cs="仿宋"/>
                <w:sz w:val="24"/>
                <w:highlight w:val="none"/>
              </w:rPr>
            </w:pPr>
          </w:p>
        </w:tc>
      </w:tr>
      <w:tr w14:paraId="04B7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4CD2A23F">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2</w:t>
            </w:r>
          </w:p>
        </w:tc>
        <w:tc>
          <w:tcPr>
            <w:tcW w:w="1272" w:type="dxa"/>
          </w:tcPr>
          <w:p w14:paraId="47A72B78">
            <w:pPr>
              <w:spacing w:line="360" w:lineRule="auto"/>
              <w:rPr>
                <w:rFonts w:hint="eastAsia" w:ascii="仿宋" w:hAnsi="仿宋" w:eastAsia="仿宋" w:cs="仿宋"/>
                <w:sz w:val="24"/>
                <w:highlight w:val="none"/>
              </w:rPr>
            </w:pPr>
          </w:p>
        </w:tc>
        <w:tc>
          <w:tcPr>
            <w:tcW w:w="715" w:type="dxa"/>
          </w:tcPr>
          <w:p w14:paraId="733B799A">
            <w:pPr>
              <w:spacing w:line="360" w:lineRule="auto"/>
              <w:rPr>
                <w:rFonts w:hint="eastAsia" w:ascii="仿宋" w:hAnsi="仿宋" w:eastAsia="仿宋" w:cs="仿宋"/>
                <w:sz w:val="24"/>
                <w:highlight w:val="none"/>
              </w:rPr>
            </w:pPr>
          </w:p>
        </w:tc>
        <w:tc>
          <w:tcPr>
            <w:tcW w:w="4205" w:type="dxa"/>
          </w:tcPr>
          <w:p w14:paraId="4BB4EF12">
            <w:pPr>
              <w:spacing w:line="360" w:lineRule="auto"/>
              <w:rPr>
                <w:rFonts w:hint="eastAsia" w:ascii="仿宋" w:hAnsi="仿宋" w:eastAsia="仿宋" w:cs="仿宋"/>
                <w:sz w:val="24"/>
                <w:highlight w:val="none"/>
              </w:rPr>
            </w:pPr>
          </w:p>
        </w:tc>
        <w:tc>
          <w:tcPr>
            <w:tcW w:w="1043" w:type="dxa"/>
          </w:tcPr>
          <w:p w14:paraId="7744758E">
            <w:pPr>
              <w:spacing w:line="360" w:lineRule="auto"/>
              <w:rPr>
                <w:rFonts w:hint="eastAsia" w:ascii="仿宋" w:hAnsi="仿宋" w:eastAsia="仿宋" w:cs="仿宋"/>
                <w:sz w:val="24"/>
                <w:highlight w:val="none"/>
              </w:rPr>
            </w:pPr>
          </w:p>
        </w:tc>
        <w:tc>
          <w:tcPr>
            <w:tcW w:w="1414" w:type="dxa"/>
          </w:tcPr>
          <w:p w14:paraId="185EB7A2">
            <w:pPr>
              <w:spacing w:line="360" w:lineRule="auto"/>
              <w:rPr>
                <w:rFonts w:hint="eastAsia" w:ascii="仿宋" w:hAnsi="仿宋" w:eastAsia="仿宋" w:cs="仿宋"/>
                <w:sz w:val="24"/>
                <w:highlight w:val="none"/>
              </w:rPr>
            </w:pPr>
          </w:p>
        </w:tc>
      </w:tr>
      <w:tr w14:paraId="4A51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0E3C5C42">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3</w:t>
            </w:r>
          </w:p>
        </w:tc>
        <w:tc>
          <w:tcPr>
            <w:tcW w:w="1272" w:type="dxa"/>
          </w:tcPr>
          <w:p w14:paraId="3CAC0CE5">
            <w:pPr>
              <w:spacing w:line="360" w:lineRule="auto"/>
              <w:rPr>
                <w:rFonts w:hint="eastAsia" w:ascii="仿宋" w:hAnsi="仿宋" w:eastAsia="仿宋" w:cs="仿宋"/>
                <w:sz w:val="24"/>
                <w:highlight w:val="none"/>
              </w:rPr>
            </w:pPr>
          </w:p>
        </w:tc>
        <w:tc>
          <w:tcPr>
            <w:tcW w:w="715" w:type="dxa"/>
          </w:tcPr>
          <w:p w14:paraId="2F777A85">
            <w:pPr>
              <w:spacing w:line="360" w:lineRule="auto"/>
              <w:rPr>
                <w:rFonts w:hint="eastAsia" w:ascii="仿宋" w:hAnsi="仿宋" w:eastAsia="仿宋" w:cs="仿宋"/>
                <w:sz w:val="24"/>
                <w:highlight w:val="none"/>
              </w:rPr>
            </w:pPr>
          </w:p>
        </w:tc>
        <w:tc>
          <w:tcPr>
            <w:tcW w:w="4205" w:type="dxa"/>
          </w:tcPr>
          <w:p w14:paraId="15A4052E">
            <w:pPr>
              <w:spacing w:line="360" w:lineRule="auto"/>
              <w:rPr>
                <w:rFonts w:hint="eastAsia" w:ascii="仿宋" w:hAnsi="仿宋" w:eastAsia="仿宋" w:cs="仿宋"/>
                <w:sz w:val="24"/>
                <w:highlight w:val="none"/>
              </w:rPr>
            </w:pPr>
          </w:p>
        </w:tc>
        <w:tc>
          <w:tcPr>
            <w:tcW w:w="1043" w:type="dxa"/>
          </w:tcPr>
          <w:p w14:paraId="5067666A">
            <w:pPr>
              <w:spacing w:line="360" w:lineRule="auto"/>
              <w:rPr>
                <w:rFonts w:hint="eastAsia" w:ascii="仿宋" w:hAnsi="仿宋" w:eastAsia="仿宋" w:cs="仿宋"/>
                <w:sz w:val="24"/>
                <w:highlight w:val="none"/>
              </w:rPr>
            </w:pPr>
          </w:p>
        </w:tc>
        <w:tc>
          <w:tcPr>
            <w:tcW w:w="1414" w:type="dxa"/>
          </w:tcPr>
          <w:p w14:paraId="29D0CCE5">
            <w:pPr>
              <w:spacing w:line="360" w:lineRule="auto"/>
              <w:rPr>
                <w:rFonts w:hint="eastAsia" w:ascii="仿宋" w:hAnsi="仿宋" w:eastAsia="仿宋" w:cs="仿宋"/>
                <w:sz w:val="24"/>
                <w:highlight w:val="none"/>
              </w:rPr>
            </w:pPr>
          </w:p>
        </w:tc>
      </w:tr>
      <w:tr w14:paraId="415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2AE83209">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4</w:t>
            </w:r>
          </w:p>
        </w:tc>
        <w:tc>
          <w:tcPr>
            <w:tcW w:w="1272" w:type="dxa"/>
          </w:tcPr>
          <w:p w14:paraId="28D45E3C">
            <w:pPr>
              <w:spacing w:line="360" w:lineRule="auto"/>
              <w:rPr>
                <w:rFonts w:hint="eastAsia" w:ascii="仿宋" w:hAnsi="仿宋" w:eastAsia="仿宋" w:cs="仿宋"/>
                <w:sz w:val="24"/>
                <w:highlight w:val="none"/>
              </w:rPr>
            </w:pPr>
          </w:p>
        </w:tc>
        <w:tc>
          <w:tcPr>
            <w:tcW w:w="715" w:type="dxa"/>
          </w:tcPr>
          <w:p w14:paraId="762FEAE7">
            <w:pPr>
              <w:spacing w:line="360" w:lineRule="auto"/>
              <w:rPr>
                <w:rFonts w:hint="eastAsia" w:ascii="仿宋" w:hAnsi="仿宋" w:eastAsia="仿宋" w:cs="仿宋"/>
                <w:sz w:val="24"/>
                <w:highlight w:val="none"/>
              </w:rPr>
            </w:pPr>
          </w:p>
        </w:tc>
        <w:tc>
          <w:tcPr>
            <w:tcW w:w="4205" w:type="dxa"/>
          </w:tcPr>
          <w:p w14:paraId="27538838">
            <w:pPr>
              <w:spacing w:line="360" w:lineRule="auto"/>
              <w:rPr>
                <w:rFonts w:hint="eastAsia" w:ascii="仿宋" w:hAnsi="仿宋" w:eastAsia="仿宋" w:cs="仿宋"/>
                <w:sz w:val="24"/>
                <w:highlight w:val="none"/>
              </w:rPr>
            </w:pPr>
          </w:p>
        </w:tc>
        <w:tc>
          <w:tcPr>
            <w:tcW w:w="1043" w:type="dxa"/>
          </w:tcPr>
          <w:p w14:paraId="4A9DA030">
            <w:pPr>
              <w:spacing w:line="360" w:lineRule="auto"/>
              <w:rPr>
                <w:rFonts w:hint="eastAsia" w:ascii="仿宋" w:hAnsi="仿宋" w:eastAsia="仿宋" w:cs="仿宋"/>
                <w:sz w:val="24"/>
                <w:highlight w:val="none"/>
              </w:rPr>
            </w:pPr>
          </w:p>
        </w:tc>
        <w:tc>
          <w:tcPr>
            <w:tcW w:w="1414" w:type="dxa"/>
          </w:tcPr>
          <w:p w14:paraId="1C173518">
            <w:pPr>
              <w:spacing w:line="360" w:lineRule="auto"/>
              <w:rPr>
                <w:rFonts w:hint="eastAsia" w:ascii="仿宋" w:hAnsi="仿宋" w:eastAsia="仿宋" w:cs="仿宋"/>
                <w:sz w:val="24"/>
                <w:highlight w:val="none"/>
              </w:rPr>
            </w:pPr>
          </w:p>
        </w:tc>
      </w:tr>
      <w:tr w14:paraId="2F9F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19FA224D">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5</w:t>
            </w:r>
          </w:p>
        </w:tc>
        <w:tc>
          <w:tcPr>
            <w:tcW w:w="1272" w:type="dxa"/>
          </w:tcPr>
          <w:p w14:paraId="2C02968D">
            <w:pPr>
              <w:spacing w:line="360" w:lineRule="auto"/>
              <w:rPr>
                <w:rFonts w:hint="eastAsia" w:ascii="仿宋" w:hAnsi="仿宋" w:eastAsia="仿宋" w:cs="仿宋"/>
                <w:sz w:val="24"/>
                <w:highlight w:val="none"/>
              </w:rPr>
            </w:pPr>
          </w:p>
        </w:tc>
        <w:tc>
          <w:tcPr>
            <w:tcW w:w="715" w:type="dxa"/>
          </w:tcPr>
          <w:p w14:paraId="7A5669FF">
            <w:pPr>
              <w:spacing w:line="360" w:lineRule="auto"/>
              <w:rPr>
                <w:rFonts w:hint="eastAsia" w:ascii="仿宋" w:hAnsi="仿宋" w:eastAsia="仿宋" w:cs="仿宋"/>
                <w:sz w:val="24"/>
                <w:highlight w:val="none"/>
              </w:rPr>
            </w:pPr>
          </w:p>
        </w:tc>
        <w:tc>
          <w:tcPr>
            <w:tcW w:w="4205" w:type="dxa"/>
          </w:tcPr>
          <w:p w14:paraId="602D667A">
            <w:pPr>
              <w:spacing w:line="360" w:lineRule="auto"/>
              <w:rPr>
                <w:rFonts w:hint="eastAsia" w:ascii="仿宋" w:hAnsi="仿宋" w:eastAsia="仿宋" w:cs="仿宋"/>
                <w:sz w:val="24"/>
                <w:highlight w:val="none"/>
              </w:rPr>
            </w:pPr>
          </w:p>
        </w:tc>
        <w:tc>
          <w:tcPr>
            <w:tcW w:w="1043" w:type="dxa"/>
          </w:tcPr>
          <w:p w14:paraId="48C1467D">
            <w:pPr>
              <w:spacing w:line="360" w:lineRule="auto"/>
              <w:rPr>
                <w:rFonts w:hint="eastAsia" w:ascii="仿宋" w:hAnsi="仿宋" w:eastAsia="仿宋" w:cs="仿宋"/>
                <w:sz w:val="24"/>
                <w:highlight w:val="none"/>
              </w:rPr>
            </w:pPr>
          </w:p>
        </w:tc>
        <w:tc>
          <w:tcPr>
            <w:tcW w:w="1414" w:type="dxa"/>
          </w:tcPr>
          <w:p w14:paraId="39BA0007">
            <w:pPr>
              <w:spacing w:line="360" w:lineRule="auto"/>
              <w:rPr>
                <w:rFonts w:hint="eastAsia" w:ascii="仿宋" w:hAnsi="仿宋" w:eastAsia="仿宋" w:cs="仿宋"/>
                <w:sz w:val="24"/>
                <w:highlight w:val="none"/>
              </w:rPr>
            </w:pPr>
          </w:p>
        </w:tc>
      </w:tr>
      <w:tr w14:paraId="786A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243390D4">
            <w:pPr>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w:t>
            </w:r>
          </w:p>
        </w:tc>
        <w:tc>
          <w:tcPr>
            <w:tcW w:w="1272" w:type="dxa"/>
          </w:tcPr>
          <w:p w14:paraId="6947D321">
            <w:pPr>
              <w:spacing w:line="360" w:lineRule="auto"/>
              <w:rPr>
                <w:rFonts w:hint="eastAsia" w:ascii="仿宋" w:hAnsi="仿宋" w:eastAsia="仿宋" w:cs="仿宋"/>
                <w:sz w:val="24"/>
                <w:highlight w:val="none"/>
              </w:rPr>
            </w:pPr>
          </w:p>
        </w:tc>
        <w:tc>
          <w:tcPr>
            <w:tcW w:w="715" w:type="dxa"/>
          </w:tcPr>
          <w:p w14:paraId="037B8916">
            <w:pPr>
              <w:spacing w:line="360" w:lineRule="auto"/>
              <w:rPr>
                <w:rFonts w:hint="eastAsia" w:ascii="仿宋" w:hAnsi="仿宋" w:eastAsia="仿宋" w:cs="仿宋"/>
                <w:sz w:val="24"/>
                <w:highlight w:val="none"/>
              </w:rPr>
            </w:pPr>
          </w:p>
        </w:tc>
        <w:tc>
          <w:tcPr>
            <w:tcW w:w="4205" w:type="dxa"/>
          </w:tcPr>
          <w:p w14:paraId="3546BA47">
            <w:pPr>
              <w:spacing w:line="360" w:lineRule="auto"/>
              <w:rPr>
                <w:rFonts w:hint="eastAsia" w:ascii="仿宋" w:hAnsi="仿宋" w:eastAsia="仿宋" w:cs="仿宋"/>
                <w:sz w:val="24"/>
                <w:highlight w:val="none"/>
              </w:rPr>
            </w:pPr>
          </w:p>
        </w:tc>
        <w:tc>
          <w:tcPr>
            <w:tcW w:w="1043" w:type="dxa"/>
          </w:tcPr>
          <w:p w14:paraId="756512DA">
            <w:pPr>
              <w:spacing w:line="360" w:lineRule="auto"/>
              <w:rPr>
                <w:rFonts w:hint="eastAsia" w:ascii="仿宋" w:hAnsi="仿宋" w:eastAsia="仿宋" w:cs="仿宋"/>
                <w:sz w:val="24"/>
                <w:highlight w:val="none"/>
              </w:rPr>
            </w:pPr>
          </w:p>
        </w:tc>
        <w:tc>
          <w:tcPr>
            <w:tcW w:w="1414" w:type="dxa"/>
          </w:tcPr>
          <w:p w14:paraId="419125F6">
            <w:pPr>
              <w:spacing w:line="360" w:lineRule="auto"/>
              <w:rPr>
                <w:rFonts w:hint="eastAsia" w:ascii="仿宋" w:hAnsi="仿宋" w:eastAsia="仿宋" w:cs="仿宋"/>
                <w:sz w:val="24"/>
                <w:highlight w:val="none"/>
              </w:rPr>
            </w:pPr>
          </w:p>
        </w:tc>
      </w:tr>
    </w:tbl>
    <w:p w14:paraId="1DB7725B">
      <w:pPr>
        <w:spacing w:line="360" w:lineRule="auto"/>
        <w:rPr>
          <w:rFonts w:hint="eastAsia" w:ascii="仿宋" w:hAnsi="仿宋" w:eastAsia="仿宋" w:cs="仿宋"/>
          <w:sz w:val="24"/>
          <w:highlight w:val="none"/>
        </w:rPr>
      </w:pPr>
    </w:p>
    <w:p w14:paraId="21AAD6B7">
      <w:pPr>
        <w:rPr>
          <w:rFonts w:hint="eastAsia" w:ascii="仿宋" w:hAnsi="仿宋" w:eastAsia="仿宋" w:cs="仿宋"/>
          <w:sz w:val="24"/>
          <w:highlight w:val="none"/>
        </w:rPr>
      </w:pPr>
      <w:r>
        <w:rPr>
          <w:rFonts w:hint="eastAsia" w:ascii="仿宋" w:hAnsi="仿宋" w:eastAsia="仿宋" w:cs="仿宋"/>
          <w:sz w:val="24"/>
          <w:highlight w:val="none"/>
        </w:rPr>
        <w:br w:type="page"/>
      </w:r>
    </w:p>
    <w:p w14:paraId="31FBF329">
      <w:pPr>
        <w:spacing w:line="360" w:lineRule="auto"/>
        <w:rPr>
          <w:rFonts w:hint="eastAsia" w:ascii="仿宋" w:hAnsi="仿宋" w:eastAsia="仿宋" w:cs="仿宋"/>
          <w:sz w:val="24"/>
          <w:highlight w:val="none"/>
        </w:rPr>
      </w:pPr>
      <w:r>
        <w:rPr>
          <w:rFonts w:hint="eastAsia" w:ascii="仿宋" w:hAnsi="仿宋" w:eastAsia="仿宋" w:cs="仿宋"/>
          <w:sz w:val="24"/>
          <w:highlight w:val="none"/>
        </w:rPr>
        <w:t>附件三：</w:t>
      </w:r>
    </w:p>
    <w:p w14:paraId="29AC4D14">
      <w:pPr>
        <w:spacing w:line="360" w:lineRule="auto"/>
        <w:jc w:val="center"/>
        <w:rPr>
          <w:rFonts w:hint="eastAsia" w:ascii="仿宋" w:hAnsi="仿宋" w:eastAsia="仿宋" w:cs="仿宋"/>
          <w:b/>
          <w:sz w:val="24"/>
          <w:highlight w:val="none"/>
        </w:rPr>
      </w:pPr>
      <w:r>
        <w:rPr>
          <w:rFonts w:hint="eastAsia" w:ascii="仿宋" w:hAnsi="仿宋" w:eastAsia="仿宋" w:cs="仿宋"/>
          <w:b/>
          <w:bCs/>
          <w:sz w:val="24"/>
          <w:highlight w:val="none"/>
        </w:rPr>
        <w:t>售后服务承诺</w:t>
      </w:r>
    </w:p>
    <w:p w14:paraId="5215C24B">
      <w:pPr>
        <w:rPr>
          <w:rFonts w:hint="eastAsia" w:ascii="仿宋" w:hAnsi="仿宋" w:eastAsia="仿宋" w:cs="仿宋"/>
          <w:highlight w:val="none"/>
        </w:rPr>
      </w:pPr>
    </w:p>
    <w:p w14:paraId="27CBA2C5">
      <w:pPr>
        <w:spacing w:line="223" w:lineRule="auto"/>
        <w:rPr>
          <w:rFonts w:hint="eastAsia" w:ascii="仿宋" w:hAnsi="仿宋" w:eastAsia="仿宋" w:cs="仿宋"/>
          <w:spacing w:val="2"/>
          <w:sz w:val="18"/>
          <w:szCs w:val="18"/>
          <w:highlight w:val="none"/>
          <w:lang w:eastAsia="zh-CN"/>
        </w:rPr>
      </w:pPr>
    </w:p>
    <w:p w14:paraId="4A302C25">
      <w:pPr>
        <w:spacing w:before="129" w:line="216" w:lineRule="auto"/>
        <w:ind w:left="466"/>
        <w:rPr>
          <w:rFonts w:hint="eastAsia" w:ascii="仿宋" w:hAnsi="仿宋" w:eastAsia="仿宋" w:cs="仿宋"/>
          <w:spacing w:val="1"/>
          <w:sz w:val="18"/>
          <w:szCs w:val="18"/>
          <w:highlight w:val="none"/>
        </w:rPr>
      </w:pPr>
    </w:p>
    <w:p w14:paraId="351A5358">
      <w:pPr>
        <w:rPr>
          <w:rFonts w:hint="eastAsia" w:ascii="仿宋" w:hAnsi="仿宋" w:eastAsia="仿宋" w:cs="仿宋"/>
          <w:highlight w:val="none"/>
        </w:rPr>
      </w:pPr>
    </w:p>
    <w:p w14:paraId="166C37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color w:val="auto"/>
          <w:kern w:val="2"/>
          <w:sz w:val="24"/>
          <w:szCs w:val="24"/>
          <w:highlight w:val="none"/>
          <w:lang w:val="en-US" w:eastAsia="zh-CN" w:bidi="ar-SA"/>
        </w:rPr>
      </w:pPr>
    </w:p>
    <w:p w14:paraId="380951C0">
      <w:pPr>
        <w:widowControl/>
        <w:tabs>
          <w:tab w:val="left" w:pos="4000"/>
        </w:tabs>
        <w:snapToGrid w:val="0"/>
        <w:spacing w:line="360" w:lineRule="auto"/>
        <w:jc w:val="left"/>
        <w:rPr>
          <w:rFonts w:hint="eastAsia" w:ascii="仿宋" w:hAnsi="仿宋" w:eastAsia="仿宋" w:cs="仿宋"/>
          <w:color w:val="auto"/>
          <w:kern w:val="0"/>
          <w:sz w:val="28"/>
          <w:highlight w:val="none"/>
        </w:rPr>
      </w:pPr>
      <w:bookmarkStart w:id="58" w:name="_Toc24214"/>
      <w:r>
        <w:rPr>
          <w:rFonts w:hint="eastAsia" w:ascii="仿宋" w:hAnsi="仿宋" w:eastAsia="仿宋" w:cs="仿宋"/>
          <w:color w:val="auto"/>
          <w:kern w:val="0"/>
          <w:sz w:val="28"/>
          <w:highlight w:val="none"/>
        </w:rPr>
        <w:br w:type="page"/>
      </w:r>
    </w:p>
    <w:p w14:paraId="10FD0A1A">
      <w:pPr>
        <w:widowControl/>
        <w:tabs>
          <w:tab w:val="left" w:pos="4000"/>
        </w:tabs>
        <w:snapToGrid w:val="0"/>
        <w:spacing w:line="360" w:lineRule="auto"/>
        <w:jc w:val="center"/>
        <w:outlineLvl w:val="0"/>
        <w:rPr>
          <w:rFonts w:hint="eastAsia" w:ascii="仿宋" w:hAnsi="仿宋" w:eastAsia="仿宋" w:cs="仿宋"/>
          <w:color w:val="auto"/>
          <w:kern w:val="0"/>
          <w:sz w:val="28"/>
          <w:highlight w:val="none"/>
        </w:rPr>
      </w:pPr>
      <w:bookmarkStart w:id="59" w:name="_Toc19147"/>
      <w:r>
        <w:rPr>
          <w:rFonts w:hint="eastAsia" w:ascii="仿宋" w:hAnsi="仿宋" w:eastAsia="仿宋" w:cs="仿宋"/>
          <w:b/>
          <w:color w:val="auto"/>
          <w:kern w:val="2"/>
          <w:sz w:val="24"/>
          <w:szCs w:val="24"/>
          <w:highlight w:val="none"/>
          <w:lang w:val="en-US" w:eastAsia="zh-CN" w:bidi="ar-SA"/>
        </w:rPr>
        <w:t xml:space="preserve">第七部分  </w:t>
      </w:r>
      <w:bookmarkStart w:id="60" w:name="_Toc86202632"/>
      <w:r>
        <w:rPr>
          <w:rFonts w:hint="eastAsia" w:ascii="仿宋" w:hAnsi="仿宋" w:eastAsia="仿宋" w:cs="仿宋"/>
          <w:b/>
          <w:color w:val="auto"/>
          <w:kern w:val="2"/>
          <w:sz w:val="24"/>
          <w:szCs w:val="24"/>
          <w:highlight w:val="none"/>
          <w:lang w:val="en-US" w:eastAsia="zh-CN" w:bidi="ar-SA"/>
        </w:rPr>
        <w:t>响应文件格式</w:t>
      </w:r>
      <w:bookmarkEnd w:id="59"/>
      <w:bookmarkEnd w:id="60"/>
    </w:p>
    <w:p w14:paraId="4C32F8E5">
      <w:pPr>
        <w:widowControl/>
        <w:tabs>
          <w:tab w:val="left" w:pos="4000"/>
        </w:tabs>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响应文件封面参考格式</w:t>
      </w:r>
      <w:bookmarkEnd w:id="58"/>
    </w:p>
    <w:p w14:paraId="42285085">
      <w:pPr>
        <w:widowControl/>
        <w:snapToGrid w:val="0"/>
        <w:spacing w:line="360" w:lineRule="auto"/>
        <w:jc w:val="right"/>
        <w:rPr>
          <w:rFonts w:hint="eastAsia" w:ascii="仿宋" w:hAnsi="仿宋" w:eastAsia="仿宋" w:cs="仿宋"/>
          <w:color w:val="auto"/>
          <w:kern w:val="0"/>
          <w:sz w:val="28"/>
          <w:szCs w:val="32"/>
          <w:highlight w:val="none"/>
        </w:rPr>
      </w:pPr>
    </w:p>
    <w:p w14:paraId="6648AB14">
      <w:pPr>
        <w:pStyle w:val="17"/>
        <w:rPr>
          <w:rFonts w:hint="eastAsia" w:ascii="仿宋" w:hAnsi="仿宋" w:eastAsia="仿宋" w:cs="仿宋"/>
          <w:color w:val="auto"/>
          <w:kern w:val="0"/>
          <w:sz w:val="28"/>
          <w:szCs w:val="32"/>
          <w:highlight w:val="none"/>
        </w:rPr>
      </w:pPr>
    </w:p>
    <w:p w14:paraId="516D1834">
      <w:pPr>
        <w:pStyle w:val="17"/>
        <w:rPr>
          <w:rFonts w:hint="eastAsia" w:ascii="仿宋" w:hAnsi="仿宋" w:eastAsia="仿宋" w:cs="仿宋"/>
          <w:color w:val="auto"/>
          <w:kern w:val="0"/>
          <w:sz w:val="28"/>
          <w:szCs w:val="32"/>
          <w:highlight w:val="none"/>
        </w:rPr>
      </w:pPr>
    </w:p>
    <w:p w14:paraId="0C432121">
      <w:pPr>
        <w:pStyle w:val="17"/>
        <w:rPr>
          <w:rFonts w:hint="eastAsia" w:ascii="仿宋" w:hAnsi="仿宋" w:eastAsia="仿宋" w:cs="仿宋"/>
          <w:color w:val="auto"/>
          <w:kern w:val="0"/>
          <w:sz w:val="28"/>
          <w:szCs w:val="32"/>
          <w:highlight w:val="none"/>
        </w:rPr>
      </w:pPr>
    </w:p>
    <w:p w14:paraId="69312EB8">
      <w:pPr>
        <w:widowControl/>
        <w:snapToGrid w:val="0"/>
        <w:spacing w:line="360" w:lineRule="auto"/>
        <w:jc w:val="center"/>
        <w:rPr>
          <w:rFonts w:hint="eastAsia" w:ascii="仿宋" w:hAnsi="仿宋" w:eastAsia="仿宋" w:cs="仿宋"/>
          <w:b/>
          <w:color w:val="auto"/>
          <w:kern w:val="0"/>
          <w:sz w:val="72"/>
          <w:szCs w:val="72"/>
          <w:highlight w:val="none"/>
        </w:rPr>
      </w:pPr>
      <w:r>
        <w:rPr>
          <w:rFonts w:hint="eastAsia" w:ascii="仿宋" w:hAnsi="仿宋" w:eastAsia="仿宋" w:cs="仿宋"/>
          <w:b/>
          <w:color w:val="auto"/>
          <w:kern w:val="0"/>
          <w:sz w:val="72"/>
          <w:szCs w:val="72"/>
          <w:highlight w:val="none"/>
        </w:rPr>
        <w:t>响  应  文  件</w:t>
      </w:r>
    </w:p>
    <w:p w14:paraId="03FD4180">
      <w:pPr>
        <w:widowControl/>
        <w:snapToGrid w:val="0"/>
        <w:spacing w:line="360" w:lineRule="auto"/>
        <w:jc w:val="center"/>
        <w:rPr>
          <w:rFonts w:hint="eastAsia" w:ascii="仿宋" w:hAnsi="仿宋" w:eastAsia="仿宋" w:cs="仿宋"/>
          <w:b/>
          <w:color w:val="auto"/>
          <w:kern w:val="0"/>
          <w:sz w:val="44"/>
          <w:szCs w:val="44"/>
          <w:highlight w:val="none"/>
        </w:rPr>
      </w:pPr>
    </w:p>
    <w:p w14:paraId="4CFB6C25">
      <w:pPr>
        <w:widowControl/>
        <w:snapToGrid w:val="0"/>
        <w:spacing w:line="360" w:lineRule="auto"/>
        <w:jc w:val="left"/>
        <w:rPr>
          <w:rFonts w:hint="eastAsia" w:ascii="仿宋" w:hAnsi="仿宋" w:eastAsia="仿宋" w:cs="仿宋"/>
          <w:color w:val="auto"/>
          <w:kern w:val="0"/>
          <w:sz w:val="28"/>
          <w:szCs w:val="30"/>
          <w:highlight w:val="none"/>
        </w:rPr>
      </w:pPr>
    </w:p>
    <w:p w14:paraId="1B348F62">
      <w:pPr>
        <w:widowControl/>
        <w:snapToGrid w:val="0"/>
        <w:spacing w:line="360" w:lineRule="auto"/>
        <w:ind w:firstLine="560" w:firstLineChars="200"/>
        <w:jc w:val="left"/>
        <w:rPr>
          <w:rFonts w:hint="eastAsia" w:ascii="仿宋" w:hAnsi="仿宋" w:eastAsia="仿宋" w:cs="仿宋"/>
          <w:color w:val="auto"/>
          <w:kern w:val="0"/>
          <w:sz w:val="28"/>
          <w:szCs w:val="30"/>
          <w:highlight w:val="none"/>
        </w:rPr>
      </w:pPr>
      <w:bookmarkStart w:id="61" w:name="_Toc1553"/>
      <w:r>
        <w:rPr>
          <w:rFonts w:hint="eastAsia" w:ascii="仿宋" w:hAnsi="仿宋" w:eastAsia="仿宋" w:cs="仿宋"/>
          <w:color w:val="auto"/>
          <w:kern w:val="0"/>
          <w:sz w:val="28"/>
          <w:szCs w:val="30"/>
          <w:highlight w:val="none"/>
        </w:rPr>
        <w:t>项目名称：</w:t>
      </w:r>
      <w:bookmarkEnd w:id="61"/>
      <w:r>
        <w:rPr>
          <w:rFonts w:hint="eastAsia" w:ascii="仿宋" w:hAnsi="仿宋" w:eastAsia="仿宋" w:cs="仿宋"/>
          <w:color w:val="auto"/>
          <w:highlight w:val="none"/>
          <w:u w:val="single"/>
        </w:rPr>
        <w:t xml:space="preserve">             </w:t>
      </w:r>
    </w:p>
    <w:p w14:paraId="4C9F70A2">
      <w:pPr>
        <w:widowControl/>
        <w:snapToGrid w:val="0"/>
        <w:spacing w:line="360" w:lineRule="auto"/>
        <w:ind w:firstLine="560" w:firstLineChars="200"/>
        <w:jc w:val="left"/>
        <w:rPr>
          <w:rFonts w:hint="eastAsia" w:ascii="仿宋" w:hAnsi="仿宋" w:eastAsia="仿宋" w:cs="仿宋"/>
          <w:color w:val="auto"/>
          <w:kern w:val="0"/>
          <w:sz w:val="28"/>
          <w:szCs w:val="30"/>
          <w:highlight w:val="none"/>
        </w:rPr>
      </w:pPr>
      <w:bookmarkStart w:id="62" w:name="_Toc232"/>
      <w:r>
        <w:rPr>
          <w:rFonts w:hint="eastAsia" w:ascii="仿宋" w:hAnsi="仿宋" w:eastAsia="仿宋" w:cs="仿宋"/>
          <w:color w:val="auto"/>
          <w:kern w:val="0"/>
          <w:sz w:val="28"/>
          <w:szCs w:val="30"/>
          <w:highlight w:val="none"/>
        </w:rPr>
        <w:t>项目编号：</w:t>
      </w:r>
      <w:bookmarkEnd w:id="62"/>
      <w:r>
        <w:rPr>
          <w:rFonts w:hint="eastAsia" w:ascii="仿宋" w:hAnsi="仿宋" w:eastAsia="仿宋" w:cs="仿宋"/>
          <w:color w:val="auto"/>
          <w:highlight w:val="none"/>
          <w:u w:val="single"/>
        </w:rPr>
        <w:t xml:space="preserve">             </w:t>
      </w:r>
    </w:p>
    <w:p w14:paraId="70F1B9FD">
      <w:pPr>
        <w:widowControl/>
        <w:snapToGrid w:val="0"/>
        <w:spacing w:line="360" w:lineRule="auto"/>
        <w:ind w:firstLine="560" w:firstLineChars="200"/>
        <w:jc w:val="left"/>
        <w:rPr>
          <w:rFonts w:hint="eastAsia" w:ascii="仿宋" w:hAnsi="仿宋" w:eastAsia="仿宋" w:cs="仿宋"/>
          <w:color w:val="auto"/>
          <w:kern w:val="0"/>
          <w:sz w:val="28"/>
          <w:szCs w:val="30"/>
          <w:highlight w:val="none"/>
          <w:lang w:val="en-US" w:eastAsia="zh-CN"/>
        </w:rPr>
      </w:pPr>
      <w:r>
        <w:rPr>
          <w:rFonts w:hint="eastAsia" w:ascii="仿宋" w:hAnsi="仿宋" w:eastAsia="仿宋" w:cs="仿宋"/>
          <w:color w:val="auto"/>
          <w:kern w:val="0"/>
          <w:sz w:val="28"/>
          <w:szCs w:val="30"/>
          <w:highlight w:val="none"/>
          <w:lang w:val="en-US" w:eastAsia="zh-CN"/>
        </w:rPr>
        <w:t>采购编号：</w:t>
      </w:r>
      <w:r>
        <w:rPr>
          <w:rFonts w:hint="eastAsia" w:ascii="仿宋" w:hAnsi="仿宋" w:eastAsia="仿宋" w:cs="仿宋"/>
          <w:color w:val="auto"/>
          <w:highlight w:val="none"/>
          <w:u w:val="single"/>
        </w:rPr>
        <w:t xml:space="preserve">             </w:t>
      </w:r>
    </w:p>
    <w:p w14:paraId="441CD84B">
      <w:pPr>
        <w:widowControl/>
        <w:snapToGrid w:val="0"/>
        <w:spacing w:line="360" w:lineRule="auto"/>
        <w:jc w:val="center"/>
        <w:rPr>
          <w:rFonts w:hint="eastAsia" w:ascii="仿宋" w:hAnsi="仿宋" w:eastAsia="仿宋" w:cs="仿宋"/>
          <w:b/>
          <w:color w:val="auto"/>
          <w:kern w:val="0"/>
          <w:sz w:val="28"/>
          <w:szCs w:val="44"/>
          <w:highlight w:val="none"/>
        </w:rPr>
      </w:pPr>
    </w:p>
    <w:p w14:paraId="110C9D05">
      <w:pPr>
        <w:widowControl/>
        <w:snapToGrid w:val="0"/>
        <w:spacing w:line="360" w:lineRule="auto"/>
        <w:jc w:val="left"/>
        <w:rPr>
          <w:rFonts w:hint="eastAsia" w:ascii="仿宋" w:hAnsi="仿宋" w:eastAsia="仿宋" w:cs="仿宋"/>
          <w:b/>
          <w:color w:val="auto"/>
          <w:kern w:val="0"/>
          <w:sz w:val="44"/>
          <w:szCs w:val="44"/>
          <w:highlight w:val="none"/>
        </w:rPr>
      </w:pPr>
    </w:p>
    <w:p w14:paraId="218241E1">
      <w:pPr>
        <w:widowControl/>
        <w:snapToGrid w:val="0"/>
        <w:spacing w:line="360" w:lineRule="auto"/>
        <w:jc w:val="left"/>
        <w:rPr>
          <w:rFonts w:hint="eastAsia" w:ascii="仿宋" w:hAnsi="仿宋" w:eastAsia="仿宋" w:cs="仿宋"/>
          <w:color w:val="auto"/>
          <w:kern w:val="0"/>
          <w:sz w:val="28"/>
          <w:highlight w:val="none"/>
        </w:rPr>
      </w:pPr>
    </w:p>
    <w:p w14:paraId="55411EC7">
      <w:pPr>
        <w:widowControl/>
        <w:snapToGrid w:val="0"/>
        <w:spacing w:line="360" w:lineRule="auto"/>
        <w:jc w:val="left"/>
        <w:rPr>
          <w:rFonts w:hint="eastAsia" w:ascii="仿宋" w:hAnsi="仿宋" w:eastAsia="仿宋" w:cs="仿宋"/>
          <w:color w:val="auto"/>
          <w:kern w:val="0"/>
          <w:sz w:val="28"/>
          <w:highlight w:val="none"/>
        </w:rPr>
      </w:pPr>
    </w:p>
    <w:p w14:paraId="3DCF5E95">
      <w:pPr>
        <w:widowControl/>
        <w:snapToGrid w:val="0"/>
        <w:spacing w:line="360" w:lineRule="auto"/>
        <w:jc w:val="left"/>
        <w:rPr>
          <w:rFonts w:hint="eastAsia" w:ascii="仿宋" w:hAnsi="仿宋" w:eastAsia="仿宋" w:cs="仿宋"/>
          <w:color w:val="auto"/>
          <w:kern w:val="0"/>
          <w:sz w:val="28"/>
          <w:highlight w:val="none"/>
        </w:rPr>
      </w:pPr>
    </w:p>
    <w:p w14:paraId="43DA12B6">
      <w:pPr>
        <w:widowControl/>
        <w:snapToGrid w:val="0"/>
        <w:spacing w:line="360" w:lineRule="auto"/>
        <w:jc w:val="left"/>
        <w:rPr>
          <w:rFonts w:hint="eastAsia" w:ascii="仿宋" w:hAnsi="仿宋" w:eastAsia="仿宋" w:cs="仿宋"/>
          <w:color w:val="auto"/>
          <w:kern w:val="0"/>
          <w:sz w:val="28"/>
          <w:highlight w:val="none"/>
        </w:rPr>
      </w:pPr>
    </w:p>
    <w:p w14:paraId="3A053B0B">
      <w:pPr>
        <w:widowControl/>
        <w:snapToGrid w:val="0"/>
        <w:spacing w:line="360" w:lineRule="auto"/>
        <w:jc w:val="left"/>
        <w:rPr>
          <w:rFonts w:hint="eastAsia" w:ascii="仿宋" w:hAnsi="仿宋" w:eastAsia="仿宋" w:cs="仿宋"/>
          <w:color w:val="auto"/>
          <w:kern w:val="0"/>
          <w:sz w:val="28"/>
          <w:highlight w:val="none"/>
        </w:rPr>
      </w:pPr>
    </w:p>
    <w:p w14:paraId="46398959">
      <w:pPr>
        <w:widowControl/>
        <w:snapToGrid w:val="0"/>
        <w:spacing w:line="360" w:lineRule="auto"/>
        <w:jc w:val="center"/>
        <w:rPr>
          <w:rFonts w:hint="eastAsia" w:ascii="仿宋" w:hAnsi="仿宋" w:eastAsia="仿宋" w:cs="仿宋"/>
          <w:color w:val="auto"/>
          <w:kern w:val="0"/>
          <w:sz w:val="30"/>
          <w:szCs w:val="30"/>
          <w:highlight w:val="none"/>
          <w:u w:val="single"/>
        </w:rPr>
      </w:pPr>
      <w:bookmarkStart w:id="63" w:name="_Toc17774"/>
      <w:r>
        <w:rPr>
          <w:rFonts w:hint="eastAsia" w:ascii="仿宋" w:hAnsi="仿宋" w:eastAsia="仿宋" w:cs="仿宋"/>
          <w:color w:val="auto"/>
          <w:kern w:val="0"/>
          <w:sz w:val="30"/>
          <w:szCs w:val="30"/>
          <w:highlight w:val="none"/>
        </w:rPr>
        <w:t xml:space="preserve">供应商全称： </w:t>
      </w:r>
      <w:r>
        <w:rPr>
          <w:rFonts w:hint="eastAsia" w:ascii="仿宋" w:hAnsi="仿宋" w:eastAsia="仿宋" w:cs="仿宋"/>
          <w:color w:val="auto"/>
          <w:kern w:val="0"/>
          <w:sz w:val="30"/>
          <w:szCs w:val="30"/>
          <w:highlight w:val="none"/>
          <w:u w:val="single"/>
        </w:rPr>
        <w:t xml:space="preserve">               </w:t>
      </w:r>
      <w:r>
        <w:rPr>
          <w:rFonts w:hint="eastAsia" w:ascii="仿宋" w:hAnsi="仿宋" w:eastAsia="仿宋" w:cs="仿宋"/>
          <w:color w:val="auto"/>
          <w:kern w:val="0"/>
          <w:sz w:val="30"/>
          <w:szCs w:val="30"/>
          <w:highlight w:val="none"/>
        </w:rPr>
        <w:t>（盖章）</w:t>
      </w:r>
      <w:bookmarkEnd w:id="63"/>
    </w:p>
    <w:p w14:paraId="3EDBFDCF">
      <w:pPr>
        <w:widowControl/>
        <w:snapToGrid w:val="0"/>
        <w:spacing w:line="360" w:lineRule="auto"/>
        <w:jc w:val="center"/>
        <w:rPr>
          <w:rFonts w:hint="eastAsia" w:ascii="仿宋" w:hAnsi="仿宋" w:eastAsia="仿宋" w:cs="仿宋"/>
          <w:color w:val="auto"/>
          <w:kern w:val="0"/>
          <w:sz w:val="30"/>
          <w:szCs w:val="30"/>
          <w:highlight w:val="none"/>
          <w:u w:val="single"/>
        </w:rPr>
      </w:pPr>
      <w:bookmarkStart w:id="64" w:name="_Toc31012"/>
      <w:r>
        <w:rPr>
          <w:rFonts w:hint="eastAsia" w:ascii="仿宋" w:hAnsi="仿宋" w:eastAsia="仿宋" w:cs="仿宋"/>
          <w:color w:val="auto"/>
          <w:kern w:val="0"/>
          <w:sz w:val="30"/>
          <w:szCs w:val="30"/>
          <w:highlight w:val="none"/>
        </w:rPr>
        <w:t>法定代表人或授权代表：</w:t>
      </w:r>
      <w:r>
        <w:rPr>
          <w:rFonts w:hint="eastAsia" w:ascii="仿宋" w:hAnsi="仿宋" w:eastAsia="仿宋" w:cs="仿宋"/>
          <w:color w:val="auto"/>
          <w:kern w:val="0"/>
          <w:sz w:val="30"/>
          <w:szCs w:val="30"/>
          <w:highlight w:val="none"/>
          <w:u w:val="single"/>
        </w:rPr>
        <w:t xml:space="preserve">                </w:t>
      </w:r>
      <w:r>
        <w:rPr>
          <w:rFonts w:hint="eastAsia" w:ascii="仿宋" w:hAnsi="仿宋" w:eastAsia="仿宋" w:cs="仿宋"/>
          <w:color w:val="auto"/>
          <w:kern w:val="0"/>
          <w:sz w:val="30"/>
          <w:szCs w:val="30"/>
          <w:highlight w:val="none"/>
        </w:rPr>
        <w:t>（签字或盖章）</w:t>
      </w:r>
      <w:bookmarkEnd w:id="64"/>
    </w:p>
    <w:p w14:paraId="53569BB9">
      <w:pPr>
        <w:widowControl/>
        <w:snapToGrid w:val="0"/>
        <w:spacing w:line="360" w:lineRule="auto"/>
        <w:jc w:val="center"/>
        <w:rPr>
          <w:rFonts w:hint="eastAsia" w:ascii="仿宋" w:hAnsi="仿宋" w:eastAsia="仿宋" w:cs="仿宋"/>
          <w:color w:val="auto"/>
          <w:kern w:val="0"/>
          <w:sz w:val="30"/>
          <w:szCs w:val="30"/>
          <w:highlight w:val="none"/>
        </w:rPr>
      </w:pPr>
      <w:bookmarkStart w:id="65" w:name="_Toc14555"/>
      <w:r>
        <w:rPr>
          <w:rFonts w:hint="eastAsia" w:ascii="仿宋" w:hAnsi="仿宋" w:eastAsia="仿宋" w:cs="仿宋"/>
          <w:color w:val="auto"/>
          <w:kern w:val="0"/>
          <w:sz w:val="30"/>
          <w:szCs w:val="30"/>
          <w:highlight w:val="none"/>
        </w:rPr>
        <w:t>二〇二   年   月   日</w:t>
      </w:r>
      <w:bookmarkEnd w:id="65"/>
      <w:bookmarkStart w:id="66" w:name="_Toc344989209"/>
      <w:bookmarkStart w:id="67" w:name="_Toc340851733"/>
    </w:p>
    <w:p w14:paraId="3ED96745">
      <w:pPr>
        <w:pStyle w:val="10"/>
        <w:snapToGrid w:val="0"/>
        <w:spacing w:line="360" w:lineRule="auto"/>
        <w:jc w:val="center"/>
        <w:rPr>
          <w:rFonts w:hint="eastAsia" w:ascii="仿宋" w:hAnsi="仿宋" w:eastAsia="仿宋" w:cs="仿宋"/>
          <w:b/>
          <w:color w:val="auto"/>
          <w:kern w:val="0"/>
          <w:sz w:val="24"/>
          <w:szCs w:val="24"/>
          <w:highlight w:val="none"/>
        </w:rPr>
      </w:pPr>
      <w:r>
        <w:rPr>
          <w:rFonts w:hint="eastAsia" w:ascii="仿宋" w:hAnsi="仿宋" w:eastAsia="仿宋" w:cs="仿宋"/>
          <w:bCs/>
          <w:color w:val="auto"/>
          <w:sz w:val="24"/>
          <w:highlight w:val="none"/>
        </w:rPr>
        <w:br w:type="page"/>
      </w:r>
      <w:bookmarkEnd w:id="66"/>
      <w:bookmarkEnd w:id="67"/>
      <w:r>
        <w:rPr>
          <w:rFonts w:hint="eastAsia" w:ascii="仿宋" w:hAnsi="仿宋" w:eastAsia="仿宋" w:cs="仿宋"/>
          <w:b/>
          <w:color w:val="auto"/>
          <w:kern w:val="0"/>
          <w:sz w:val="24"/>
          <w:szCs w:val="24"/>
          <w:highlight w:val="none"/>
        </w:rPr>
        <w:t>资格证明文件</w:t>
      </w:r>
    </w:p>
    <w:p w14:paraId="5237A49B">
      <w:pPr>
        <w:spacing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1.供应商具有独立承担民事责任的能力的承诺函；</w:t>
      </w:r>
    </w:p>
    <w:p w14:paraId="0ADE4045">
      <w:pPr>
        <w:snapToGrid w:val="0"/>
        <w:spacing w:line="360" w:lineRule="auto"/>
        <w:jc w:val="center"/>
        <w:rPr>
          <w:rFonts w:hint="eastAsia" w:ascii="仿宋" w:hAnsi="仿宋" w:eastAsia="仿宋" w:cs="仿宋"/>
          <w:b/>
          <w:color w:val="auto"/>
          <w:szCs w:val="21"/>
          <w:highlight w:val="none"/>
        </w:rPr>
      </w:pPr>
    </w:p>
    <w:p w14:paraId="22CD63F6">
      <w:pPr>
        <w:snapToGrid w:val="0"/>
        <w:spacing w:line="360" w:lineRule="auto"/>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供应商具有独立承担民事责任的能力的承诺函</w:t>
      </w:r>
    </w:p>
    <w:p w14:paraId="1E4F46B0">
      <w:pPr>
        <w:rPr>
          <w:rFonts w:hint="eastAsia" w:ascii="仿宋" w:hAnsi="仿宋" w:eastAsia="仿宋" w:cs="仿宋"/>
          <w:color w:val="auto"/>
          <w:szCs w:val="21"/>
          <w:highlight w:val="none"/>
          <w:u w:val="single"/>
        </w:rPr>
      </w:pPr>
    </w:p>
    <w:p w14:paraId="597A205A">
      <w:pPr>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（采购人名称）：</w:t>
      </w:r>
    </w:p>
    <w:p w14:paraId="029DA2EF">
      <w:pPr>
        <w:widowControl/>
        <w:snapToGrid w:val="0"/>
        <w:spacing w:line="360" w:lineRule="auto"/>
        <w:ind w:firstLine="420" w:firstLineChars="200"/>
        <w:rPr>
          <w:rFonts w:hint="eastAsia" w:ascii="仿宋" w:hAnsi="仿宋" w:eastAsia="仿宋" w:cs="仿宋"/>
          <w:color w:val="auto"/>
          <w:szCs w:val="21"/>
          <w:highlight w:val="none"/>
        </w:rPr>
      </w:pPr>
    </w:p>
    <w:p w14:paraId="62C1ACA0">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本供应商现参与贵公司组织的</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项目（项目编号：</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u w:val="none"/>
          <w:lang w:val="en-US" w:eastAsia="zh-CN"/>
        </w:rPr>
        <w:t>采购编号：</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）的采购活动。依据</w:t>
      </w:r>
      <w:r>
        <w:rPr>
          <w:rFonts w:hint="eastAsia" w:ascii="仿宋" w:hAnsi="仿宋" w:eastAsia="仿宋" w:cs="仿宋"/>
          <w:color w:val="auto"/>
          <w:szCs w:val="21"/>
          <w:highlight w:val="none"/>
          <w:lang w:val="en-US" w:eastAsia="zh-CN"/>
        </w:rPr>
        <w:t>竞争性谈判</w:t>
      </w:r>
      <w:r>
        <w:rPr>
          <w:rFonts w:hint="eastAsia" w:ascii="仿宋" w:hAnsi="仿宋" w:eastAsia="仿宋" w:cs="仿宋"/>
          <w:color w:val="auto"/>
          <w:szCs w:val="21"/>
          <w:highlight w:val="none"/>
        </w:rPr>
        <w:t>文件相关规定，现郑重承诺：我方具有有效的营业执照或事业单位法人证书或自然人身份证明或其他非企业组织证明文件及有效的开户许可证，能独立承担民事责任的能力。</w:t>
      </w:r>
    </w:p>
    <w:p w14:paraId="6A97061D">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基本信息如下：</w:t>
      </w:r>
    </w:p>
    <w:p w14:paraId="3DAACC5D">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名称为：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，统一社会信用代码为：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；法定代表人（负责人）为：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；营业期限为: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；基本开户银行为：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；账号为：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23E9A5D3">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以上承诺信息如有虚假或隐瞒，我方愿意承担一切后果，并不再寻求任何旨在减轻或免除法律责任的辩解。 </w:t>
      </w:r>
    </w:p>
    <w:p w14:paraId="15DA8D10">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特此承诺。</w:t>
      </w:r>
    </w:p>
    <w:p w14:paraId="3FDD931F">
      <w:pPr>
        <w:snapToGrid w:val="0"/>
        <w:spacing w:line="480" w:lineRule="exact"/>
        <w:jc w:val="center"/>
        <w:rPr>
          <w:rFonts w:hint="eastAsia" w:ascii="仿宋" w:hAnsi="仿宋" w:eastAsia="仿宋" w:cs="仿宋"/>
          <w:color w:val="auto"/>
          <w:highlight w:val="none"/>
        </w:rPr>
      </w:pPr>
    </w:p>
    <w:p w14:paraId="1948B010">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02E08C85">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（签字或盖章）  </w:t>
      </w:r>
    </w:p>
    <w:p w14:paraId="6012326D">
      <w:pPr>
        <w:widowControl/>
        <w:tabs>
          <w:tab w:val="left" w:pos="4145"/>
        </w:tabs>
        <w:snapToGrid w:val="0"/>
        <w:spacing w:line="44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14:paraId="650E3508">
      <w:pPr>
        <w:widowControl/>
        <w:tabs>
          <w:tab w:val="left" w:pos="4145"/>
        </w:tabs>
        <w:snapToGrid w:val="0"/>
        <w:spacing w:line="440" w:lineRule="exact"/>
        <w:jc w:val="center"/>
        <w:rPr>
          <w:rFonts w:hint="eastAsia" w:ascii="仿宋" w:hAnsi="仿宋" w:eastAsia="仿宋" w:cs="仿宋"/>
          <w:color w:val="auto"/>
          <w:highlight w:val="none"/>
        </w:rPr>
      </w:pPr>
    </w:p>
    <w:p w14:paraId="606BC25F">
      <w:pPr>
        <w:pStyle w:val="17"/>
        <w:rPr>
          <w:rFonts w:hint="eastAsia" w:ascii="仿宋" w:hAnsi="仿宋" w:eastAsia="仿宋" w:cs="仿宋"/>
          <w:color w:val="auto"/>
          <w:highlight w:val="none"/>
        </w:rPr>
      </w:pPr>
    </w:p>
    <w:p w14:paraId="63E62014">
      <w:pPr>
        <w:spacing w:line="360" w:lineRule="auto"/>
        <w:rPr>
          <w:rFonts w:hint="eastAsia" w:ascii="仿宋" w:hAnsi="仿宋" w:eastAsia="仿宋" w:cs="仿宋"/>
          <w:b/>
          <w:bCs/>
          <w:color w:val="auto"/>
          <w:highlight w:val="none"/>
        </w:rPr>
      </w:pPr>
    </w:p>
    <w:p w14:paraId="7300BC90">
      <w:pPr>
        <w:spacing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br w:type="page"/>
      </w:r>
      <w:r>
        <w:rPr>
          <w:rFonts w:hint="eastAsia" w:ascii="仿宋" w:hAnsi="仿宋" w:eastAsia="仿宋" w:cs="仿宋"/>
          <w:b/>
          <w:bCs/>
          <w:color w:val="auto"/>
          <w:highlight w:val="none"/>
        </w:rPr>
        <w:t>2.供应商具有良好的商业信誉和健全的财务会计制度的承诺函；</w:t>
      </w:r>
    </w:p>
    <w:p w14:paraId="23E53EE1">
      <w:pPr>
        <w:spacing w:line="360" w:lineRule="auto"/>
        <w:rPr>
          <w:rFonts w:hint="eastAsia" w:ascii="仿宋" w:hAnsi="仿宋" w:eastAsia="仿宋" w:cs="仿宋"/>
          <w:b/>
          <w:bCs/>
          <w:color w:val="auto"/>
          <w:highlight w:val="none"/>
        </w:rPr>
      </w:pPr>
    </w:p>
    <w:p w14:paraId="126617EB">
      <w:pPr>
        <w:spacing w:line="360" w:lineRule="auto"/>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供应商具有良好的商业信誉和健全的财务会计制度的承诺函</w:t>
      </w:r>
    </w:p>
    <w:p w14:paraId="10F5E4EC">
      <w:pPr>
        <w:spacing w:line="360" w:lineRule="auto"/>
        <w:rPr>
          <w:rFonts w:hint="eastAsia" w:ascii="仿宋" w:hAnsi="仿宋" w:eastAsia="仿宋" w:cs="仿宋"/>
          <w:color w:val="auto"/>
          <w:highlight w:val="none"/>
        </w:rPr>
      </w:pPr>
    </w:p>
    <w:p w14:paraId="4D05F24A">
      <w:pPr>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（采购人名称）：</w:t>
      </w:r>
    </w:p>
    <w:p w14:paraId="2B0F8C06">
      <w:pPr>
        <w:spacing w:line="360" w:lineRule="auto"/>
        <w:rPr>
          <w:rFonts w:hint="eastAsia" w:ascii="仿宋" w:hAnsi="仿宋" w:eastAsia="仿宋" w:cs="仿宋"/>
          <w:color w:val="auto"/>
          <w:highlight w:val="none"/>
        </w:rPr>
      </w:pPr>
    </w:p>
    <w:p w14:paraId="527C70B4">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本供应商现参与贵公司组织的</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项目（项目编号：</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highlight w:val="none"/>
          <w:u w:val="none"/>
          <w:lang w:eastAsia="zh-CN"/>
        </w:rPr>
        <w:t>采购编号</w:t>
      </w:r>
      <w:r>
        <w:rPr>
          <w:rFonts w:hint="eastAsia" w:ascii="仿宋" w:hAnsi="仿宋" w:eastAsia="仿宋" w:cs="仿宋"/>
          <w:color w:val="auto"/>
          <w:highlight w:val="none"/>
          <w:u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）的采购活动。依据</w:t>
      </w:r>
      <w:r>
        <w:rPr>
          <w:rFonts w:hint="eastAsia" w:ascii="仿宋" w:hAnsi="仿宋" w:eastAsia="仿宋" w:cs="仿宋"/>
          <w:color w:val="auto"/>
          <w:szCs w:val="21"/>
          <w:highlight w:val="none"/>
          <w:lang w:val="en-US" w:eastAsia="zh-CN"/>
        </w:rPr>
        <w:t>竞争性谈判</w:t>
      </w:r>
      <w:r>
        <w:rPr>
          <w:rFonts w:hint="eastAsia" w:ascii="仿宋" w:hAnsi="仿宋" w:eastAsia="仿宋" w:cs="仿宋"/>
          <w:color w:val="auto"/>
          <w:szCs w:val="21"/>
          <w:highlight w:val="none"/>
        </w:rPr>
        <w:t>文件相关规定，现郑重承诺：我方具有良好的商业信誉和健全的财务会计制度。</w:t>
      </w:r>
    </w:p>
    <w:p w14:paraId="06DA4068">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以上承诺信息如有虚假或隐瞒，我方愿意承担一切后果，并不再寻求任何旨在减轻或免除法律责任的辩解。 </w:t>
      </w:r>
    </w:p>
    <w:p w14:paraId="019F72A5">
      <w:pPr>
        <w:widowControl/>
        <w:snapToGrid w:val="0"/>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特此承诺。</w:t>
      </w:r>
    </w:p>
    <w:p w14:paraId="324CDFF2">
      <w:pPr>
        <w:snapToGrid w:val="0"/>
        <w:spacing w:line="480" w:lineRule="exact"/>
        <w:jc w:val="center"/>
        <w:rPr>
          <w:rFonts w:hint="eastAsia" w:ascii="仿宋" w:hAnsi="仿宋" w:eastAsia="仿宋" w:cs="仿宋"/>
          <w:color w:val="auto"/>
          <w:highlight w:val="none"/>
        </w:rPr>
      </w:pPr>
    </w:p>
    <w:p w14:paraId="2B00AC9D">
      <w:pPr>
        <w:snapToGrid w:val="0"/>
        <w:spacing w:line="480" w:lineRule="exact"/>
        <w:jc w:val="center"/>
        <w:rPr>
          <w:rFonts w:hint="eastAsia" w:ascii="仿宋" w:hAnsi="仿宋" w:eastAsia="仿宋" w:cs="仿宋"/>
          <w:color w:val="auto"/>
          <w:highlight w:val="none"/>
        </w:rPr>
      </w:pPr>
    </w:p>
    <w:p w14:paraId="02ED3218">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5F7368B4">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（签字或盖章）  </w:t>
      </w:r>
    </w:p>
    <w:p w14:paraId="6CC8A4F7">
      <w:pPr>
        <w:widowControl/>
        <w:tabs>
          <w:tab w:val="left" w:pos="4145"/>
        </w:tabs>
        <w:snapToGrid w:val="0"/>
        <w:spacing w:line="44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14:paraId="63E97AE7">
      <w:pPr>
        <w:pStyle w:val="17"/>
        <w:rPr>
          <w:rFonts w:hint="eastAsia" w:ascii="仿宋" w:hAnsi="仿宋" w:eastAsia="仿宋" w:cs="仿宋"/>
          <w:color w:val="auto"/>
          <w:highlight w:val="none"/>
        </w:rPr>
      </w:pPr>
    </w:p>
    <w:p w14:paraId="3374DD53">
      <w:pPr>
        <w:spacing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br w:type="page"/>
      </w:r>
      <w:r>
        <w:rPr>
          <w:rFonts w:hint="eastAsia" w:ascii="仿宋" w:hAnsi="仿宋" w:eastAsia="仿宋" w:cs="仿宋"/>
          <w:b/>
          <w:bCs/>
          <w:color w:val="auto"/>
          <w:highlight w:val="none"/>
          <w:lang w:val="en-US" w:eastAsia="zh-CN"/>
        </w:rPr>
        <w:t>3</w:t>
      </w:r>
      <w:r>
        <w:rPr>
          <w:rFonts w:hint="eastAsia" w:ascii="仿宋" w:hAnsi="仿宋" w:eastAsia="仿宋" w:cs="仿宋"/>
          <w:b/>
          <w:bCs/>
          <w:color w:val="auto"/>
          <w:highlight w:val="none"/>
        </w:rPr>
        <w:t>.供应商具有履行合同所必需的设备和专业技术能力的承诺函；</w:t>
      </w:r>
    </w:p>
    <w:p w14:paraId="7F55D62C">
      <w:pPr>
        <w:spacing w:line="360" w:lineRule="auto"/>
        <w:rPr>
          <w:rFonts w:hint="eastAsia" w:ascii="仿宋" w:hAnsi="仿宋" w:eastAsia="仿宋" w:cs="仿宋"/>
          <w:b/>
          <w:bCs/>
          <w:color w:val="auto"/>
          <w:highlight w:val="none"/>
        </w:rPr>
      </w:pPr>
    </w:p>
    <w:p w14:paraId="25A8BB39">
      <w:pPr>
        <w:jc w:val="center"/>
        <w:rPr>
          <w:rFonts w:hint="eastAsia" w:ascii="仿宋" w:hAnsi="仿宋" w:eastAsia="仿宋" w:cs="仿宋"/>
          <w:b/>
          <w:color w:val="auto"/>
          <w:spacing w:val="20"/>
          <w:szCs w:val="21"/>
          <w:highlight w:val="none"/>
        </w:rPr>
      </w:pPr>
      <w:r>
        <w:rPr>
          <w:rFonts w:hint="eastAsia" w:ascii="仿宋" w:hAnsi="仿宋" w:eastAsia="仿宋" w:cs="仿宋"/>
          <w:b/>
          <w:color w:val="auto"/>
          <w:spacing w:val="20"/>
          <w:szCs w:val="21"/>
          <w:highlight w:val="none"/>
        </w:rPr>
        <w:t>供应商具有履行合同所必需的设备和专业技术能力的承诺函</w:t>
      </w:r>
    </w:p>
    <w:p w14:paraId="70E96564">
      <w:pPr>
        <w:pStyle w:val="17"/>
        <w:rPr>
          <w:rFonts w:hint="eastAsia" w:ascii="仿宋" w:hAnsi="仿宋" w:eastAsia="仿宋" w:cs="仿宋"/>
          <w:b/>
          <w:bCs/>
          <w:color w:val="auto"/>
          <w:highlight w:val="none"/>
        </w:rPr>
      </w:pPr>
    </w:p>
    <w:p w14:paraId="5514ADD0">
      <w:pPr>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（采购人名称）：</w:t>
      </w:r>
    </w:p>
    <w:p w14:paraId="3508CEA4">
      <w:pPr>
        <w:spacing w:line="360" w:lineRule="auto"/>
        <w:ind w:firstLine="420" w:firstLineChars="200"/>
        <w:rPr>
          <w:rFonts w:hint="eastAsia" w:ascii="仿宋" w:hAnsi="仿宋" w:eastAsia="仿宋" w:cs="仿宋"/>
          <w:color w:val="auto"/>
          <w:highlight w:val="none"/>
        </w:rPr>
      </w:pPr>
    </w:p>
    <w:p w14:paraId="454184F0">
      <w:pPr>
        <w:spacing w:line="36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我方郑重声明，我方具有履行</w:t>
      </w:r>
      <w:r>
        <w:rPr>
          <w:rFonts w:hint="eastAsia" w:ascii="仿宋" w:hAnsi="仿宋" w:eastAsia="仿宋" w:cs="仿宋"/>
          <w:color w:val="auto"/>
          <w:highlight w:val="none"/>
          <w:u w:val="single"/>
        </w:rPr>
        <w:t>项目名称：           、项目编号：        、</w:t>
      </w:r>
      <w:r>
        <w:rPr>
          <w:rFonts w:hint="eastAsia" w:ascii="仿宋" w:hAnsi="仿宋" w:eastAsia="仿宋" w:cs="仿宋"/>
          <w:color w:val="auto"/>
          <w:highlight w:val="none"/>
          <w:u w:val="single"/>
          <w:lang w:eastAsia="zh-CN"/>
        </w:rPr>
        <w:t>采购编号</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合同所必需的设备和专业技术能力，如我方中标/成交，将按我方响应文件承诺，保证合同顺利履行。如有虚假或隐瞒，愿意承担一切后果。</w:t>
      </w:r>
    </w:p>
    <w:p w14:paraId="3A6658E0">
      <w:pPr>
        <w:spacing w:line="36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特此承诺。</w:t>
      </w:r>
    </w:p>
    <w:p w14:paraId="7DEB330A">
      <w:pPr>
        <w:snapToGrid w:val="0"/>
        <w:spacing w:line="480" w:lineRule="exact"/>
        <w:jc w:val="center"/>
        <w:rPr>
          <w:rFonts w:hint="eastAsia" w:ascii="仿宋" w:hAnsi="仿宋" w:eastAsia="仿宋" w:cs="仿宋"/>
          <w:color w:val="auto"/>
          <w:highlight w:val="none"/>
        </w:rPr>
      </w:pPr>
    </w:p>
    <w:p w14:paraId="1FAD0785">
      <w:pPr>
        <w:snapToGrid w:val="0"/>
        <w:spacing w:line="480" w:lineRule="exact"/>
        <w:jc w:val="center"/>
        <w:rPr>
          <w:rFonts w:hint="eastAsia" w:ascii="仿宋" w:hAnsi="仿宋" w:eastAsia="仿宋" w:cs="仿宋"/>
          <w:color w:val="auto"/>
          <w:highlight w:val="none"/>
        </w:rPr>
      </w:pPr>
    </w:p>
    <w:p w14:paraId="74E921A7">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0598E04C">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（签字或盖章）  </w:t>
      </w:r>
    </w:p>
    <w:p w14:paraId="1978AFB0">
      <w:pPr>
        <w:widowControl/>
        <w:tabs>
          <w:tab w:val="left" w:pos="4145"/>
        </w:tabs>
        <w:snapToGrid w:val="0"/>
        <w:spacing w:line="44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14:paraId="12D3759C">
      <w:pPr>
        <w:spacing w:line="360" w:lineRule="auto"/>
        <w:rPr>
          <w:rFonts w:hint="eastAsia" w:ascii="仿宋" w:hAnsi="仿宋" w:eastAsia="仿宋" w:cs="仿宋"/>
          <w:b/>
          <w:bCs/>
          <w:color w:val="auto"/>
          <w:highlight w:val="none"/>
        </w:rPr>
      </w:pPr>
    </w:p>
    <w:p w14:paraId="58CD4461">
      <w:pPr>
        <w:spacing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br w:type="page"/>
      </w: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rPr>
        <w:t>.供应商</w:t>
      </w:r>
      <w:r>
        <w:rPr>
          <w:rFonts w:hint="eastAsia" w:ascii="仿宋" w:hAnsi="仿宋" w:eastAsia="仿宋" w:cs="仿宋"/>
          <w:b/>
          <w:bCs/>
          <w:color w:val="auto"/>
          <w:highlight w:val="none"/>
          <w:lang w:val="en-US" w:eastAsia="zh-CN"/>
        </w:rPr>
        <w:t>具</w:t>
      </w:r>
      <w:r>
        <w:rPr>
          <w:rFonts w:hint="eastAsia" w:ascii="仿宋" w:hAnsi="仿宋" w:eastAsia="仿宋" w:cs="仿宋"/>
          <w:b/>
          <w:bCs/>
          <w:color w:val="auto"/>
          <w:highlight w:val="none"/>
        </w:rPr>
        <w:t>有依法缴纳税收和社会保障资金的良好记录的承诺函；</w:t>
      </w:r>
    </w:p>
    <w:p w14:paraId="3838DE5E">
      <w:pPr>
        <w:spacing w:line="360" w:lineRule="auto"/>
        <w:jc w:val="center"/>
        <w:rPr>
          <w:rFonts w:hint="eastAsia" w:ascii="仿宋" w:hAnsi="仿宋" w:eastAsia="仿宋" w:cs="仿宋"/>
          <w:b/>
          <w:color w:val="auto"/>
          <w:szCs w:val="21"/>
          <w:highlight w:val="none"/>
        </w:rPr>
      </w:pPr>
    </w:p>
    <w:p w14:paraId="40F597B1">
      <w:pPr>
        <w:spacing w:line="360" w:lineRule="auto"/>
        <w:jc w:val="center"/>
        <w:rPr>
          <w:rFonts w:hint="eastAsia" w:ascii="仿宋" w:hAnsi="仿宋" w:eastAsia="仿宋" w:cs="仿宋"/>
          <w:b/>
          <w:bCs/>
          <w:color w:val="auto"/>
          <w:highlight w:val="none"/>
        </w:rPr>
      </w:pPr>
      <w:r>
        <w:rPr>
          <w:rFonts w:hint="eastAsia" w:ascii="仿宋" w:hAnsi="仿宋" w:eastAsia="仿宋" w:cs="仿宋"/>
          <w:b/>
          <w:color w:val="auto"/>
          <w:szCs w:val="21"/>
          <w:highlight w:val="none"/>
        </w:rPr>
        <w:t>供应商</w:t>
      </w:r>
      <w:r>
        <w:rPr>
          <w:rFonts w:hint="eastAsia" w:ascii="仿宋" w:hAnsi="仿宋" w:eastAsia="仿宋" w:cs="仿宋"/>
          <w:b/>
          <w:color w:val="auto"/>
          <w:szCs w:val="21"/>
          <w:highlight w:val="none"/>
          <w:lang w:val="en-US" w:eastAsia="zh-CN"/>
        </w:rPr>
        <w:t>具</w:t>
      </w:r>
      <w:r>
        <w:rPr>
          <w:rFonts w:hint="eastAsia" w:ascii="仿宋" w:hAnsi="仿宋" w:eastAsia="仿宋" w:cs="仿宋"/>
          <w:b/>
          <w:color w:val="auto"/>
          <w:szCs w:val="21"/>
          <w:highlight w:val="none"/>
        </w:rPr>
        <w:t>有依法缴纳税收和社会保障资金的良好记录的承诺函</w:t>
      </w:r>
    </w:p>
    <w:p w14:paraId="55495816">
      <w:pPr>
        <w:rPr>
          <w:rFonts w:hint="eastAsia" w:ascii="仿宋" w:hAnsi="仿宋" w:eastAsia="仿宋" w:cs="仿宋"/>
          <w:color w:val="auto"/>
          <w:szCs w:val="21"/>
          <w:highlight w:val="none"/>
          <w:u w:val="single"/>
        </w:rPr>
      </w:pPr>
    </w:p>
    <w:p w14:paraId="688EB34B">
      <w:pPr>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（采购人名称）：</w:t>
      </w:r>
    </w:p>
    <w:p w14:paraId="6F7A372C">
      <w:pPr>
        <w:spacing w:line="360" w:lineRule="auto"/>
        <w:ind w:firstLine="420" w:firstLineChars="200"/>
        <w:rPr>
          <w:rFonts w:hint="eastAsia" w:ascii="仿宋" w:hAnsi="仿宋" w:eastAsia="仿宋" w:cs="仿宋"/>
          <w:color w:val="auto"/>
          <w:highlight w:val="none"/>
        </w:rPr>
      </w:pPr>
    </w:p>
    <w:p w14:paraId="7C5EE549">
      <w:pPr>
        <w:spacing w:line="36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我公司郑重声明，我公司严格依法缴纳税收和社会保障金。如有弄虚作假，愿承担一切责任。</w:t>
      </w:r>
    </w:p>
    <w:p w14:paraId="0529E17F">
      <w:pPr>
        <w:spacing w:line="36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特此承诺。</w:t>
      </w:r>
    </w:p>
    <w:p w14:paraId="6F7AD637">
      <w:pPr>
        <w:snapToGrid w:val="0"/>
        <w:spacing w:line="480" w:lineRule="exact"/>
        <w:jc w:val="center"/>
        <w:rPr>
          <w:rFonts w:hint="eastAsia" w:ascii="仿宋" w:hAnsi="仿宋" w:eastAsia="仿宋" w:cs="仿宋"/>
          <w:color w:val="auto"/>
          <w:highlight w:val="none"/>
        </w:rPr>
      </w:pPr>
    </w:p>
    <w:p w14:paraId="633B2FDB">
      <w:pPr>
        <w:snapToGrid w:val="0"/>
        <w:spacing w:line="480" w:lineRule="exact"/>
        <w:jc w:val="center"/>
        <w:rPr>
          <w:rFonts w:hint="eastAsia" w:ascii="仿宋" w:hAnsi="仿宋" w:eastAsia="仿宋" w:cs="仿宋"/>
          <w:color w:val="auto"/>
          <w:highlight w:val="none"/>
        </w:rPr>
      </w:pPr>
    </w:p>
    <w:p w14:paraId="6B156191">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0F9BB454">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（签字或盖章）  </w:t>
      </w:r>
    </w:p>
    <w:p w14:paraId="38A018CD">
      <w:pPr>
        <w:widowControl/>
        <w:tabs>
          <w:tab w:val="left" w:pos="4145"/>
        </w:tabs>
        <w:snapToGrid w:val="0"/>
        <w:spacing w:line="44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14:paraId="27E924E0">
      <w:pPr>
        <w:spacing w:line="360" w:lineRule="auto"/>
        <w:rPr>
          <w:rFonts w:hint="eastAsia" w:ascii="仿宋" w:hAnsi="仿宋" w:eastAsia="仿宋" w:cs="仿宋"/>
          <w:b/>
          <w:bCs/>
          <w:color w:val="auto"/>
          <w:highlight w:val="none"/>
        </w:rPr>
      </w:pPr>
    </w:p>
    <w:p w14:paraId="6C5409A4">
      <w:pPr>
        <w:spacing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br w:type="page"/>
      </w:r>
      <w:r>
        <w:rPr>
          <w:rFonts w:hint="eastAsia" w:ascii="仿宋" w:hAnsi="仿宋" w:eastAsia="仿宋" w:cs="仿宋"/>
          <w:b/>
          <w:bCs/>
          <w:color w:val="auto"/>
          <w:highlight w:val="none"/>
        </w:rPr>
        <w:t>5.供应商参加政府采购活动前三年内，在经营活动中没有重大违法记录的承诺函；</w:t>
      </w:r>
    </w:p>
    <w:p w14:paraId="3F2A6046">
      <w:pPr>
        <w:spacing w:line="360" w:lineRule="auto"/>
        <w:rPr>
          <w:rFonts w:hint="eastAsia" w:ascii="仿宋" w:hAnsi="仿宋" w:eastAsia="仿宋" w:cs="仿宋"/>
          <w:b/>
          <w:color w:val="auto"/>
          <w:highlight w:val="none"/>
          <w:u w:val="single"/>
        </w:rPr>
      </w:pPr>
    </w:p>
    <w:p w14:paraId="3E35EFD6">
      <w:pPr>
        <w:pStyle w:val="17"/>
        <w:jc w:val="center"/>
        <w:rPr>
          <w:rFonts w:hint="eastAsia" w:ascii="仿宋" w:hAnsi="仿宋" w:eastAsia="仿宋" w:cs="仿宋"/>
          <w:b/>
          <w:color w:val="auto"/>
          <w:highlight w:val="none"/>
          <w:u w:val="single"/>
        </w:rPr>
      </w:pPr>
      <w:r>
        <w:rPr>
          <w:rFonts w:hint="eastAsia" w:ascii="仿宋" w:hAnsi="仿宋" w:eastAsia="仿宋" w:cs="仿宋"/>
          <w:b/>
          <w:color w:val="auto"/>
          <w:szCs w:val="21"/>
          <w:highlight w:val="none"/>
        </w:rPr>
        <w:t>供应商参加政府采购活动前三年内，在经营活动中没有重大违法记录的承诺函</w:t>
      </w:r>
    </w:p>
    <w:p w14:paraId="5C6684BE">
      <w:pPr>
        <w:pStyle w:val="17"/>
        <w:rPr>
          <w:rFonts w:hint="eastAsia" w:ascii="仿宋" w:hAnsi="仿宋" w:eastAsia="仿宋" w:cs="仿宋"/>
          <w:b/>
          <w:color w:val="auto"/>
          <w:highlight w:val="none"/>
          <w:u w:val="single"/>
        </w:rPr>
      </w:pPr>
    </w:p>
    <w:p w14:paraId="308E9112">
      <w:pPr>
        <w:spacing w:line="360" w:lineRule="auto"/>
        <w:rPr>
          <w:rFonts w:hint="eastAsia" w:ascii="仿宋" w:hAnsi="仿宋" w:eastAsia="仿宋" w:cs="仿宋"/>
          <w:b/>
          <w:color w:val="auto"/>
          <w:highlight w:val="none"/>
          <w:u w:val="single"/>
        </w:rPr>
      </w:pPr>
      <w:r>
        <w:rPr>
          <w:rFonts w:hint="eastAsia" w:ascii="仿宋" w:hAnsi="仿宋" w:eastAsia="仿宋" w:cs="仿宋"/>
          <w:color w:val="auto"/>
          <w:szCs w:val="21"/>
          <w:highlight w:val="none"/>
          <w:u w:val="single"/>
        </w:rPr>
        <w:t>（采购人名称）：</w:t>
      </w:r>
    </w:p>
    <w:p w14:paraId="54105B03">
      <w:pPr>
        <w:pStyle w:val="28"/>
        <w:snapToGrid w:val="0"/>
        <w:spacing w:line="360" w:lineRule="auto"/>
        <w:ind w:firstLine="480" w:firstLineChars="200"/>
        <w:rPr>
          <w:rFonts w:hint="eastAsia" w:ascii="仿宋" w:hAnsi="仿宋" w:eastAsia="仿宋" w:cs="仿宋"/>
          <w:color w:val="auto"/>
          <w:sz w:val="24"/>
          <w:szCs w:val="24"/>
          <w:highlight w:val="none"/>
        </w:rPr>
      </w:pPr>
    </w:p>
    <w:p w14:paraId="2DC5609E">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我公司现参与</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采购编号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）的采购活动，在参加本次政府采购活动前三年内，在经营活动中没有重大违法记录（因违法经营受到刑事处罚或者责令停产停业、吊销许可证或者执照、较大数额罚款等行政处罚。）；在</w:t>
      </w:r>
      <w:r>
        <w:rPr>
          <w:rFonts w:hint="eastAsia" w:ascii="仿宋" w:hAnsi="仿宋" w:eastAsia="仿宋" w:cs="仿宋"/>
          <w:color w:val="auto"/>
          <w:sz w:val="24"/>
          <w:szCs w:val="24"/>
          <w:highlight w:val="none"/>
          <w:lang w:val="en-US" w:eastAsia="zh-CN"/>
        </w:rPr>
        <w:t>谈判</w:t>
      </w:r>
      <w:r>
        <w:rPr>
          <w:rFonts w:hint="eastAsia" w:ascii="仿宋" w:hAnsi="仿宋" w:eastAsia="仿宋" w:cs="仿宋"/>
          <w:color w:val="auto"/>
          <w:sz w:val="24"/>
          <w:szCs w:val="24"/>
          <w:highlight w:val="none"/>
        </w:rPr>
        <w:t>前查询了本公司在信用中国网（http://www.creditchina.gov.cn）、</w:t>
      </w:r>
      <w:r>
        <w:rPr>
          <w:rFonts w:hint="eastAsia" w:ascii="仿宋" w:hAnsi="仿宋" w:eastAsia="仿宋" w:cs="仿宋"/>
          <w:color w:val="auto"/>
          <w:sz w:val="24"/>
          <w:highlight w:val="none"/>
        </w:rPr>
        <w:t>中国执行信息公开网（http://zxgk.court.gov.cn/shixin/）</w:t>
      </w:r>
      <w:r>
        <w:rPr>
          <w:rFonts w:hint="eastAsia" w:ascii="仿宋" w:hAnsi="仿宋" w:eastAsia="仿宋" w:cs="仿宋"/>
          <w:color w:val="auto"/>
          <w:sz w:val="24"/>
          <w:szCs w:val="24"/>
          <w:highlight w:val="none"/>
        </w:rPr>
        <w:t>的信用信息中失信被执行人、</w:t>
      </w:r>
      <w:r>
        <w:rPr>
          <w:rFonts w:hint="eastAsia" w:ascii="仿宋" w:hAnsi="仿宋" w:eastAsia="仿宋" w:cs="仿宋"/>
          <w:color w:val="auto"/>
          <w:sz w:val="24"/>
          <w:szCs w:val="24"/>
          <w:highlight w:val="none"/>
          <w:lang w:eastAsia="zh-CN"/>
        </w:rPr>
        <w:t>重大税收违法失信主体</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政府采购严重违法失信行为记录名单</w:t>
      </w:r>
      <w:r>
        <w:rPr>
          <w:rFonts w:hint="eastAsia" w:ascii="仿宋" w:hAnsi="仿宋" w:eastAsia="仿宋" w:cs="仿宋"/>
          <w:color w:val="auto"/>
          <w:sz w:val="24"/>
          <w:szCs w:val="24"/>
          <w:highlight w:val="none"/>
        </w:rPr>
        <w:t>均为0记录；查询了本公司在中国政府采购网（http://www.ccgp.gov.cn）中的政府采购严重违法失信行为信息记录为0记录。</w:t>
      </w:r>
    </w:p>
    <w:p w14:paraId="0A9B48AC">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如上述声明不真实，愿意按照政府采购有关法律法规的规定接受处罚。</w:t>
      </w:r>
    </w:p>
    <w:p w14:paraId="5C76186C">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特此声明</w:t>
      </w:r>
    </w:p>
    <w:p w14:paraId="0AFE3BC6">
      <w:pPr>
        <w:pStyle w:val="28"/>
        <w:snapToGrid w:val="0"/>
        <w:spacing w:line="360" w:lineRule="auto"/>
        <w:ind w:firstLine="480" w:firstLineChars="200"/>
        <w:rPr>
          <w:rFonts w:hint="eastAsia" w:ascii="仿宋" w:hAnsi="仿宋" w:eastAsia="仿宋" w:cs="仿宋"/>
          <w:color w:val="auto"/>
          <w:sz w:val="24"/>
          <w:szCs w:val="24"/>
          <w:highlight w:val="none"/>
        </w:rPr>
      </w:pPr>
    </w:p>
    <w:p w14:paraId="60327E80">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01BF7504">
      <w:pPr>
        <w:snapToGrid w:val="0"/>
        <w:spacing w:line="48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（签字或盖章）  </w:t>
      </w:r>
    </w:p>
    <w:p w14:paraId="38DE2723">
      <w:pPr>
        <w:widowControl/>
        <w:tabs>
          <w:tab w:val="left" w:pos="4145"/>
        </w:tabs>
        <w:snapToGrid w:val="0"/>
        <w:spacing w:line="440" w:lineRule="exact"/>
        <w:ind w:left="0" w:leftChars="0" w:firstLine="3998" w:firstLineChars="1904"/>
        <w:jc w:val="left"/>
        <w:rPr>
          <w:rFonts w:hint="eastAsia" w:ascii="仿宋" w:hAnsi="仿宋" w:eastAsia="仿宋" w:cs="仿宋"/>
          <w:color w:val="auto"/>
          <w:highlight w:val="none"/>
        </w:rPr>
      </w:pPr>
      <w:r>
        <w:rPr>
          <w:rFonts w:hint="eastAsia" w:ascii="仿宋" w:hAnsi="仿宋" w:eastAsia="仿宋" w:cs="仿宋"/>
          <w:color w:val="auto"/>
          <w:highlight w:val="none"/>
        </w:rPr>
        <w:t>日      期：</w:t>
      </w:r>
      <w:r>
        <w:rPr>
          <w:rFonts w:hint="eastAsia" w:ascii="仿宋" w:hAnsi="仿宋" w:eastAsia="仿宋" w:cs="仿宋"/>
          <w:color w:val="auto"/>
          <w:highlight w:val="none"/>
          <w:u w:val="single"/>
        </w:rPr>
        <w:t xml:space="preserve">             </w:t>
      </w:r>
    </w:p>
    <w:p w14:paraId="6D00E8DA">
      <w:pPr>
        <w:spacing w:line="360" w:lineRule="auto"/>
        <w:rPr>
          <w:rFonts w:hint="eastAsia" w:ascii="仿宋" w:hAnsi="仿宋" w:eastAsia="仿宋" w:cs="仿宋"/>
          <w:b/>
          <w:bCs/>
          <w:color w:val="auto"/>
          <w:highlight w:val="none"/>
        </w:rPr>
      </w:pPr>
    </w:p>
    <w:p w14:paraId="1C40F057">
      <w:pPr>
        <w:spacing w:line="360" w:lineRule="auto"/>
        <w:rPr>
          <w:rFonts w:hint="eastAsia" w:ascii="仿宋" w:hAnsi="仿宋" w:eastAsia="仿宋" w:cs="仿宋"/>
          <w:b/>
          <w:bCs/>
          <w:color w:val="auto"/>
          <w:highlight w:val="none"/>
        </w:rPr>
      </w:pPr>
    </w:p>
    <w:p w14:paraId="03C6042A">
      <w:pPr>
        <w:widowControl/>
        <w:tabs>
          <w:tab w:val="left" w:pos="567"/>
        </w:tabs>
        <w:snapToGrid w:val="0"/>
        <w:spacing w:line="360" w:lineRule="auto"/>
        <w:outlineLvl w:val="9"/>
        <w:rPr>
          <w:rFonts w:hint="eastAsia" w:ascii="仿宋" w:hAnsi="仿宋" w:eastAsia="仿宋" w:cs="仿宋"/>
          <w:b/>
          <w:bCs/>
          <w:sz w:val="21"/>
          <w:szCs w:val="21"/>
          <w:highlight w:val="none"/>
          <w:lang w:eastAsia="zh-CN"/>
        </w:rPr>
      </w:pPr>
      <w:r>
        <w:rPr>
          <w:rFonts w:hint="eastAsia" w:ascii="仿宋" w:hAnsi="仿宋" w:eastAsia="仿宋" w:cs="仿宋"/>
          <w:b/>
          <w:bCs/>
          <w:color w:val="auto"/>
          <w:highlight w:val="none"/>
        </w:rPr>
        <w:br w:type="page"/>
      </w:r>
      <w:bookmarkStart w:id="68" w:name="_Toc2333"/>
      <w:r>
        <w:rPr>
          <w:rFonts w:hint="eastAsia" w:ascii="仿宋" w:hAnsi="仿宋" w:eastAsia="仿宋" w:cs="仿宋"/>
          <w:b/>
          <w:bCs/>
          <w:sz w:val="21"/>
          <w:szCs w:val="21"/>
          <w:highlight w:val="none"/>
          <w:lang w:val="en-US" w:eastAsia="zh-CN"/>
        </w:rPr>
        <w:t>6．单位负责人为同一人或者存在直接控股、管理关系的不同供应商，不得参加同一合同项下的政府采购活动</w:t>
      </w:r>
      <w:r>
        <w:rPr>
          <w:rFonts w:hint="eastAsia" w:ascii="仿宋" w:hAnsi="仿宋" w:eastAsia="仿宋" w:cs="仿宋"/>
          <w:b/>
          <w:bCs/>
          <w:sz w:val="21"/>
          <w:szCs w:val="21"/>
          <w:highlight w:val="none"/>
        </w:rPr>
        <w:t>的承诺函</w:t>
      </w:r>
      <w:bookmarkEnd w:id="68"/>
      <w:r>
        <w:rPr>
          <w:rFonts w:hint="eastAsia" w:ascii="仿宋" w:hAnsi="仿宋" w:eastAsia="仿宋" w:cs="仿宋"/>
          <w:b/>
          <w:bCs/>
          <w:sz w:val="21"/>
          <w:szCs w:val="21"/>
          <w:highlight w:val="none"/>
          <w:lang w:eastAsia="zh-CN"/>
        </w:rPr>
        <w:t>；</w:t>
      </w:r>
    </w:p>
    <w:p w14:paraId="66503AAD">
      <w:pPr>
        <w:snapToGrid w:val="0"/>
        <w:spacing w:line="400" w:lineRule="exact"/>
        <w:jc w:val="left"/>
        <w:outlineLvl w:val="9"/>
        <w:rPr>
          <w:b/>
          <w:color w:val="000000"/>
          <w:kern w:val="0"/>
          <w:sz w:val="28"/>
          <w:szCs w:val="28"/>
          <w:highlight w:val="none"/>
        </w:rPr>
      </w:pPr>
    </w:p>
    <w:p w14:paraId="2D39A577">
      <w:pPr>
        <w:snapToGrid w:val="0"/>
        <w:spacing w:line="400" w:lineRule="exact"/>
        <w:jc w:val="center"/>
        <w:outlineLvl w:val="9"/>
        <w:rPr>
          <w:rFonts w:hint="eastAsia" w:ascii="仿宋" w:hAnsi="仿宋" w:eastAsia="仿宋" w:cs="仿宋"/>
          <w:b/>
          <w:color w:val="auto"/>
          <w:kern w:val="0"/>
          <w:sz w:val="21"/>
          <w:szCs w:val="21"/>
          <w:highlight w:val="none"/>
          <w:lang w:val="en-US" w:eastAsia="zh-CN" w:bidi="ar-SA"/>
        </w:rPr>
      </w:pPr>
      <w:r>
        <w:rPr>
          <w:rFonts w:hint="eastAsia" w:ascii="仿宋" w:hAnsi="仿宋" w:eastAsia="仿宋" w:cs="仿宋"/>
          <w:b/>
          <w:color w:val="auto"/>
          <w:kern w:val="0"/>
          <w:sz w:val="21"/>
          <w:szCs w:val="21"/>
          <w:highlight w:val="none"/>
          <w:lang w:val="en-US" w:eastAsia="zh-CN" w:bidi="ar-SA"/>
        </w:rPr>
        <w:t>单位负责人为同一人或者存在直接控股、管理关系的不同供应商，不得参加同一合同项下的政府采购活动的承诺函</w:t>
      </w:r>
    </w:p>
    <w:p w14:paraId="3623A5EE">
      <w:pPr>
        <w:snapToGrid w:val="0"/>
        <w:spacing w:line="400" w:lineRule="exact"/>
        <w:jc w:val="left"/>
        <w:outlineLvl w:val="9"/>
        <w:rPr>
          <w:b/>
          <w:color w:val="000000"/>
          <w:kern w:val="0"/>
          <w:sz w:val="28"/>
          <w:szCs w:val="28"/>
          <w:highlight w:val="none"/>
        </w:rPr>
      </w:pPr>
    </w:p>
    <w:p w14:paraId="43CA55FD">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highlight w:val="none"/>
          <w:u w:val="single"/>
        </w:rPr>
      </w:pPr>
      <w:r>
        <w:rPr>
          <w:rFonts w:hint="eastAsia" w:ascii="仿宋" w:hAnsi="仿宋" w:eastAsia="仿宋" w:cs="仿宋"/>
          <w:sz w:val="24"/>
          <w:szCs w:val="24"/>
          <w:highlight w:val="none"/>
          <w:u w:val="single"/>
        </w:rPr>
        <w:t xml:space="preserve">  </w:t>
      </w:r>
      <w:r>
        <w:rPr>
          <w:rFonts w:hint="eastAsia" w:ascii="仿宋" w:hAnsi="仿宋" w:eastAsia="仿宋" w:cs="仿宋"/>
          <w:color w:val="auto"/>
          <w:sz w:val="24"/>
          <w:szCs w:val="24"/>
          <w:highlight w:val="none"/>
          <w:u w:val="single"/>
          <w:lang w:eastAsia="zh-CN"/>
        </w:rPr>
        <w:t>（采购人名称）</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none"/>
        </w:rPr>
        <w:t>：</w:t>
      </w:r>
    </w:p>
    <w:p w14:paraId="2DB25847">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highlight w:val="none"/>
        </w:rPr>
      </w:pPr>
    </w:p>
    <w:p w14:paraId="171527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本</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现参与</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项目（项目编号：</w:t>
      </w:r>
      <w:r>
        <w:rPr>
          <w:rFonts w:hint="eastAsia" w:ascii="仿宋" w:hAnsi="仿宋" w:eastAsia="仿宋" w:cs="仿宋"/>
          <w:kern w:val="0"/>
          <w:sz w:val="24"/>
          <w:szCs w:val="24"/>
          <w:highlight w:val="none"/>
          <w:u w:val="single"/>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none"/>
          <w:lang w:eastAsia="zh-CN"/>
        </w:rPr>
        <w:t>、</w:t>
      </w:r>
      <w:r>
        <w:rPr>
          <w:rFonts w:hint="eastAsia" w:ascii="仿宋" w:hAnsi="仿宋" w:eastAsia="仿宋" w:cs="仿宋"/>
          <w:sz w:val="24"/>
          <w:szCs w:val="24"/>
          <w:highlight w:val="none"/>
          <w:u w:val="none"/>
          <w:lang w:val="en-US" w:eastAsia="zh-CN"/>
        </w:rPr>
        <w:t>采购编号：</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）的采购活动，现承诺本</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不存在与单位负责人为同一人或者存在直接控股、管理关系的不同</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，不得参加同一合同项下的政府招标活动的情形。</w:t>
      </w:r>
    </w:p>
    <w:p w14:paraId="7D8316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以上承诺信息如有虚假或隐瞒，我方愿意承担一切后果，并不再寻求任何旨在减轻或免除法律责任的辩解。</w:t>
      </w:r>
    </w:p>
    <w:p w14:paraId="4F87D4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sz w:val="24"/>
          <w:szCs w:val="24"/>
          <w:highlight w:val="none"/>
        </w:rPr>
      </w:pPr>
    </w:p>
    <w:p w14:paraId="2C0575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特此声明</w:t>
      </w:r>
    </w:p>
    <w:p w14:paraId="45E36CB4">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sz w:val="24"/>
          <w:szCs w:val="24"/>
          <w:highlight w:val="none"/>
        </w:rPr>
      </w:pPr>
    </w:p>
    <w:p w14:paraId="31CDC0E4">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sz w:val="24"/>
          <w:szCs w:val="24"/>
          <w:highlight w:val="none"/>
        </w:rPr>
      </w:pPr>
    </w:p>
    <w:p w14:paraId="3DF4017A">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sz w:val="24"/>
          <w:szCs w:val="24"/>
          <w:highlight w:val="none"/>
        </w:rPr>
      </w:pPr>
    </w:p>
    <w:p w14:paraId="1199616A">
      <w:pPr>
        <w:keepNext w:val="0"/>
        <w:keepLines w:val="0"/>
        <w:pageBreakBefore w:val="0"/>
        <w:widowControl w:val="0"/>
        <w:kinsoku/>
        <w:wordWrap/>
        <w:overflowPunct/>
        <w:topLinePunct w:val="0"/>
        <w:autoSpaceDE/>
        <w:autoSpaceDN/>
        <w:bidi w:val="0"/>
        <w:adjustRightInd/>
        <w:snapToGrid w:val="0"/>
        <w:spacing w:line="360" w:lineRule="auto"/>
        <w:ind w:firstLine="1440" w:firstLineChars="600"/>
        <w:jc w:val="righ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（盖章）</w:t>
      </w:r>
    </w:p>
    <w:p w14:paraId="40430007">
      <w:pPr>
        <w:keepNext w:val="0"/>
        <w:keepLines w:val="0"/>
        <w:pageBreakBefore w:val="0"/>
        <w:widowControl w:val="0"/>
        <w:kinsoku/>
        <w:wordWrap/>
        <w:overflowPunct/>
        <w:topLinePunct w:val="0"/>
        <w:autoSpaceDE/>
        <w:autoSpaceDN/>
        <w:bidi w:val="0"/>
        <w:adjustRightInd/>
        <w:snapToGrid w:val="0"/>
        <w:spacing w:line="360" w:lineRule="auto"/>
        <w:ind w:firstLine="1440" w:firstLineChars="600"/>
        <w:jc w:val="righ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法定</w:t>
      </w:r>
      <w:r>
        <w:rPr>
          <w:rFonts w:hint="eastAsia" w:ascii="仿宋" w:hAnsi="仿宋" w:eastAsia="仿宋" w:cs="仿宋"/>
          <w:sz w:val="24"/>
          <w:szCs w:val="24"/>
          <w:highlight w:val="none"/>
        </w:rPr>
        <w:t>代表人：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（签字或盖章）</w:t>
      </w:r>
    </w:p>
    <w:p w14:paraId="20EDBE60">
      <w:pPr>
        <w:keepNext w:val="0"/>
        <w:keepLines w:val="0"/>
        <w:pageBreakBefore w:val="0"/>
        <w:widowControl w:val="0"/>
        <w:kinsoku/>
        <w:wordWrap/>
        <w:overflowPunct/>
        <w:topLinePunct w:val="0"/>
        <w:autoSpaceDE/>
        <w:autoSpaceDN/>
        <w:bidi w:val="0"/>
        <w:adjustRightInd/>
        <w:spacing w:line="360" w:lineRule="auto"/>
        <w:ind w:firstLine="1440" w:firstLineChars="600"/>
        <w:jc w:val="center"/>
        <w:textAlignment w:val="auto"/>
        <w:outlineLvl w:val="9"/>
        <w:rPr>
          <w:rFonts w:hint="eastAsia" w:ascii="仿宋" w:hAnsi="仿宋" w:eastAsia="仿宋" w:cs="仿宋"/>
          <w:color w:val="auto"/>
          <w:highlight w:val="none"/>
          <w:u w:val="single"/>
        </w:rPr>
      </w:pPr>
      <w:r>
        <w:rPr>
          <w:rFonts w:hint="eastAsia" w:ascii="仿宋" w:hAnsi="仿宋" w:eastAsia="仿宋" w:cs="仿宋"/>
          <w:sz w:val="24"/>
          <w:szCs w:val="24"/>
          <w:highlight w:val="none"/>
        </w:rPr>
        <w:t>日      期：</w:t>
      </w:r>
      <w:r>
        <w:rPr>
          <w:rFonts w:hint="eastAsia" w:ascii="仿宋" w:hAnsi="仿宋" w:eastAsia="仿宋" w:cs="仿宋"/>
          <w:color w:val="auto"/>
          <w:highlight w:val="none"/>
          <w:u w:val="single"/>
        </w:rPr>
        <w:t xml:space="preserve">             </w:t>
      </w:r>
    </w:p>
    <w:p w14:paraId="7107E80A">
      <w:pPr>
        <w:keepNext w:val="0"/>
        <w:keepLines w:val="0"/>
        <w:pageBreakBefore w:val="0"/>
        <w:widowControl w:val="0"/>
        <w:kinsoku/>
        <w:wordWrap/>
        <w:overflowPunct/>
        <w:topLinePunct w:val="0"/>
        <w:autoSpaceDE/>
        <w:autoSpaceDN/>
        <w:bidi w:val="0"/>
        <w:adjustRightInd/>
        <w:spacing w:line="360" w:lineRule="auto"/>
        <w:ind w:firstLine="1440" w:firstLineChars="600"/>
        <w:jc w:val="center"/>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7C90E280">
      <w:pPr>
        <w:widowControl/>
        <w:tabs>
          <w:tab w:val="left" w:pos="567"/>
        </w:tabs>
        <w:snapToGrid w:val="0"/>
        <w:spacing w:line="360" w:lineRule="auto"/>
        <w:outlineLvl w:val="9"/>
        <w:rPr>
          <w:rFonts w:hint="eastAsia" w:ascii="仿宋" w:hAnsi="仿宋" w:eastAsia="仿宋" w:cs="仿宋"/>
          <w:b/>
          <w:bCs/>
          <w:sz w:val="21"/>
          <w:szCs w:val="21"/>
          <w:highlight w:val="none"/>
        </w:rPr>
      </w:pPr>
      <w:bookmarkStart w:id="69" w:name="_Toc24007"/>
      <w:bookmarkStart w:id="70" w:name="_Toc178"/>
      <w:bookmarkStart w:id="71" w:name="_Toc27818"/>
      <w:bookmarkStart w:id="72" w:name="_Toc15480"/>
      <w:r>
        <w:rPr>
          <w:rFonts w:hint="eastAsia" w:ascii="仿宋" w:hAnsi="仿宋" w:eastAsia="仿宋" w:cs="仿宋"/>
          <w:b/>
          <w:bCs/>
          <w:sz w:val="21"/>
          <w:szCs w:val="21"/>
          <w:highlight w:val="none"/>
          <w:lang w:val="en-US" w:eastAsia="zh-CN"/>
        </w:rPr>
        <w:t>7</w:t>
      </w:r>
      <w:r>
        <w:rPr>
          <w:rFonts w:hint="eastAsia" w:ascii="仿宋" w:hAnsi="仿宋" w:eastAsia="仿宋" w:cs="仿宋"/>
          <w:b/>
          <w:bCs/>
          <w:sz w:val="21"/>
          <w:szCs w:val="21"/>
          <w:highlight w:val="none"/>
        </w:rPr>
        <w:t>．</w:t>
      </w:r>
      <w:r>
        <w:rPr>
          <w:rFonts w:hint="eastAsia" w:ascii="仿宋" w:hAnsi="仿宋" w:eastAsia="仿宋" w:cs="仿宋"/>
          <w:b/>
          <w:bCs/>
          <w:sz w:val="21"/>
          <w:szCs w:val="21"/>
          <w:highlight w:val="none"/>
          <w:lang w:eastAsia="zh-CN"/>
        </w:rPr>
        <w:t>供应商</w:t>
      </w:r>
      <w:r>
        <w:rPr>
          <w:rFonts w:hint="eastAsia" w:ascii="仿宋" w:hAnsi="仿宋" w:eastAsia="仿宋" w:cs="仿宋"/>
          <w:b/>
          <w:bCs/>
          <w:sz w:val="21"/>
          <w:szCs w:val="21"/>
          <w:highlight w:val="none"/>
        </w:rPr>
        <w:t>廉洁自律承诺书</w:t>
      </w:r>
      <w:bookmarkEnd w:id="69"/>
      <w:bookmarkEnd w:id="70"/>
      <w:bookmarkEnd w:id="71"/>
      <w:bookmarkEnd w:id="72"/>
    </w:p>
    <w:p w14:paraId="36F14527">
      <w:pPr>
        <w:spacing w:line="360" w:lineRule="auto"/>
        <w:jc w:val="center"/>
        <w:outlineLvl w:val="9"/>
        <w:rPr>
          <w:rFonts w:hint="eastAsia" w:ascii="仿宋" w:hAnsi="仿宋" w:eastAsia="仿宋" w:cs="仿宋"/>
          <w:b/>
          <w:sz w:val="21"/>
          <w:szCs w:val="21"/>
          <w:highlight w:val="none"/>
        </w:rPr>
      </w:pPr>
      <w:r>
        <w:rPr>
          <w:rFonts w:hint="eastAsia" w:ascii="仿宋" w:hAnsi="仿宋" w:eastAsia="仿宋" w:cs="仿宋"/>
          <w:b/>
          <w:sz w:val="21"/>
          <w:szCs w:val="21"/>
          <w:highlight w:val="none"/>
          <w:lang w:eastAsia="zh-CN"/>
        </w:rPr>
        <w:t>供应商</w:t>
      </w:r>
      <w:r>
        <w:rPr>
          <w:rFonts w:hint="eastAsia" w:ascii="仿宋" w:hAnsi="仿宋" w:eastAsia="仿宋" w:cs="仿宋"/>
          <w:b/>
          <w:sz w:val="21"/>
          <w:szCs w:val="21"/>
          <w:highlight w:val="none"/>
        </w:rPr>
        <w:t>廉洁自律承诺书</w:t>
      </w:r>
    </w:p>
    <w:p w14:paraId="26AEB2CE">
      <w:pPr>
        <w:spacing w:line="360" w:lineRule="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u w:val="single"/>
        </w:rPr>
        <w:t>（</w:t>
      </w:r>
      <w:r>
        <w:rPr>
          <w:rFonts w:hint="eastAsia" w:ascii="仿宋" w:hAnsi="仿宋" w:eastAsia="仿宋" w:cs="仿宋"/>
          <w:sz w:val="24"/>
          <w:szCs w:val="24"/>
          <w:highlight w:val="none"/>
          <w:u w:val="single"/>
          <w:lang w:eastAsia="zh-CN"/>
        </w:rPr>
        <w:t>采购人名称</w:t>
      </w:r>
      <w:r>
        <w:rPr>
          <w:rFonts w:hint="eastAsia" w:ascii="仿宋" w:hAnsi="仿宋" w:eastAsia="仿宋" w:cs="仿宋"/>
          <w:sz w:val="24"/>
          <w:szCs w:val="24"/>
          <w:highlight w:val="none"/>
          <w:u w:val="single"/>
        </w:rPr>
        <w:t>）：</w:t>
      </w:r>
    </w:p>
    <w:p w14:paraId="7CF5BAF1">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为维护本次招投标工作的正常秩序，本公司特郑重承诺如下： </w:t>
      </w:r>
    </w:p>
    <w:p w14:paraId="44E23397">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一、严格按照《中华人民共和国政府采购法》、《中华人民共和国政府采购法实施条例》等有关法律法规、政策及</w:t>
      </w:r>
      <w:r>
        <w:rPr>
          <w:rFonts w:hint="eastAsia" w:ascii="仿宋" w:hAnsi="仿宋" w:eastAsia="仿宋" w:cs="仿宋"/>
          <w:sz w:val="24"/>
          <w:szCs w:val="24"/>
          <w:highlight w:val="none"/>
          <w:lang w:eastAsia="zh-CN"/>
        </w:rPr>
        <w:t>采购文件</w:t>
      </w:r>
      <w:r>
        <w:rPr>
          <w:rFonts w:hint="eastAsia" w:ascii="仿宋" w:hAnsi="仿宋" w:eastAsia="仿宋" w:cs="仿宋"/>
          <w:sz w:val="24"/>
          <w:szCs w:val="24"/>
          <w:highlight w:val="none"/>
        </w:rPr>
        <w:t>的规定，规范本公司的投标行为，保证做到合法投标、正当竞争、廉洁经营。</w:t>
      </w:r>
    </w:p>
    <w:p w14:paraId="6BA00B28">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二、本公司保证在本次投标工作中做到：</w:t>
      </w:r>
    </w:p>
    <w:p w14:paraId="346CE53C">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1．不与其他</w:t>
      </w: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相互串通投标、陪标，损害贵单位的合法权益；</w:t>
      </w:r>
    </w:p>
    <w:p w14:paraId="65D3C09A">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2．不与用户串通投标，损害</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的利益或他人的合法权益；</w:t>
      </w:r>
    </w:p>
    <w:p w14:paraId="720A57B3">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3．不以向用户、</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或者评标委员会成员行贿的手段谋取中标；（包括送礼金礼品、有价证券、购物券、回扣、佣金、咨询费、劳务费、赞助费、宣传费、支付旅游费用、报销各种消费凭证、宴请、娱乐等）；</w:t>
      </w:r>
    </w:p>
    <w:p w14:paraId="4F60D1EC">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4．不利用他人名义投标或者以其他方式弄虚作假，谋取中标；</w:t>
      </w:r>
    </w:p>
    <w:p w14:paraId="27CF2DDF">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5．保证不以其他任何方式扰乱本次招标工作；</w:t>
      </w:r>
    </w:p>
    <w:p w14:paraId="0697DA27">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6．保证严格遵守招标会议纪律。</w:t>
      </w:r>
    </w:p>
    <w:p w14:paraId="043C6F19">
      <w:pPr>
        <w:spacing w:line="360" w:lineRule="auto"/>
        <w:ind w:firstLine="480" w:firstLineChars="20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三、我公司承诺在本次政府采购活动中，如有违反以上第二条中的行为，同意贵方按《中华人民共和国政府采购法》、《中华人民共和国政府采购法实施条例》等有关法律法规和</w:t>
      </w:r>
      <w:r>
        <w:rPr>
          <w:rFonts w:hint="eastAsia" w:ascii="仿宋" w:hAnsi="仿宋" w:eastAsia="仿宋" w:cs="仿宋"/>
          <w:sz w:val="24"/>
          <w:szCs w:val="24"/>
          <w:highlight w:val="none"/>
          <w:lang w:eastAsia="zh-CN"/>
        </w:rPr>
        <w:t>采购文件</w:t>
      </w:r>
      <w:r>
        <w:rPr>
          <w:rFonts w:hint="eastAsia" w:ascii="仿宋" w:hAnsi="仿宋" w:eastAsia="仿宋" w:cs="仿宋"/>
          <w:sz w:val="24"/>
          <w:szCs w:val="24"/>
          <w:highlight w:val="none"/>
        </w:rPr>
        <w:t>之规定上报省级主管部门给予进入不良信誉记录、扣除保证金等惩罚，我公司及项目参与人员完全接受。</w:t>
      </w:r>
    </w:p>
    <w:p w14:paraId="3D43CE8A">
      <w:pPr>
        <w:keepNext w:val="0"/>
        <w:keepLines w:val="0"/>
        <w:pageBreakBefore w:val="0"/>
        <w:widowControl w:val="0"/>
        <w:kinsoku/>
        <w:wordWrap/>
        <w:overflowPunct/>
        <w:topLinePunct w:val="0"/>
        <w:autoSpaceDE/>
        <w:autoSpaceDN/>
        <w:bidi w:val="0"/>
        <w:adjustRightInd/>
        <w:snapToGrid w:val="0"/>
        <w:spacing w:line="360" w:lineRule="auto"/>
        <w:ind w:left="1050" w:leftChars="500"/>
        <w:jc w:val="right"/>
        <w:textAlignment w:val="auto"/>
        <w:outlineLvl w:val="9"/>
        <w:rPr>
          <w:rFonts w:hint="eastAsia" w:ascii="仿宋" w:hAnsi="仿宋" w:eastAsia="仿宋" w:cs="仿宋"/>
          <w:sz w:val="24"/>
          <w:szCs w:val="24"/>
          <w:highlight w:val="none"/>
          <w:lang w:val="en-US" w:eastAsia="zh-CN"/>
        </w:rPr>
      </w:pPr>
    </w:p>
    <w:p w14:paraId="1B62ACD4">
      <w:pPr>
        <w:keepNext w:val="0"/>
        <w:keepLines w:val="0"/>
        <w:pageBreakBefore w:val="0"/>
        <w:widowControl w:val="0"/>
        <w:kinsoku/>
        <w:wordWrap/>
        <w:overflowPunct/>
        <w:topLinePunct w:val="0"/>
        <w:autoSpaceDE/>
        <w:autoSpaceDN/>
        <w:bidi w:val="0"/>
        <w:adjustRightInd/>
        <w:snapToGrid w:val="0"/>
        <w:spacing w:line="360" w:lineRule="auto"/>
        <w:ind w:left="1050" w:leftChars="500"/>
        <w:jc w:val="righ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（盖章）</w:t>
      </w:r>
    </w:p>
    <w:p w14:paraId="37AD0B19">
      <w:pPr>
        <w:keepNext w:val="0"/>
        <w:keepLines w:val="0"/>
        <w:pageBreakBefore w:val="0"/>
        <w:widowControl w:val="0"/>
        <w:kinsoku/>
        <w:wordWrap/>
        <w:overflowPunct/>
        <w:topLinePunct w:val="0"/>
        <w:autoSpaceDE/>
        <w:autoSpaceDN/>
        <w:bidi w:val="0"/>
        <w:adjustRightInd/>
        <w:snapToGrid w:val="0"/>
        <w:spacing w:line="360" w:lineRule="auto"/>
        <w:ind w:left="1050" w:leftChars="500"/>
        <w:jc w:val="right"/>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（签字或盖章）  </w:t>
      </w:r>
    </w:p>
    <w:p w14:paraId="74A52F4F">
      <w:pPr>
        <w:keepNext w:val="0"/>
        <w:keepLines w:val="0"/>
        <w:pageBreakBefore w:val="0"/>
        <w:widowControl w:val="0"/>
        <w:kinsoku/>
        <w:wordWrap/>
        <w:overflowPunct/>
        <w:topLinePunct w:val="0"/>
        <w:autoSpaceDE/>
        <w:autoSpaceDN/>
        <w:bidi w:val="0"/>
        <w:adjustRightInd/>
        <w:spacing w:line="360" w:lineRule="auto"/>
        <w:ind w:left="1050" w:leftChars="500"/>
        <w:jc w:val="center"/>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日    期：</w:t>
      </w:r>
      <w:r>
        <w:rPr>
          <w:rFonts w:hint="eastAsia" w:ascii="仿宋" w:hAnsi="仿宋" w:eastAsia="仿宋" w:cs="仿宋"/>
          <w:color w:val="auto"/>
          <w:highlight w:val="none"/>
          <w:u w:val="single"/>
        </w:rPr>
        <w:t xml:space="preserve">             </w:t>
      </w:r>
    </w:p>
    <w:p w14:paraId="33DDC198">
      <w:pPr>
        <w:bidi w:val="0"/>
        <w:outlineLvl w:val="9"/>
        <w:rPr>
          <w:rFonts w:hint="eastAsia" w:ascii="仿宋" w:hAnsi="仿宋" w:eastAsia="仿宋" w:cs="仿宋"/>
          <w:sz w:val="24"/>
          <w:szCs w:val="24"/>
          <w:highlight w:val="none"/>
          <w:lang w:val="en-US" w:eastAsia="zh-CN"/>
        </w:rPr>
      </w:pPr>
      <w:bookmarkStart w:id="73" w:name="_Toc11571"/>
      <w:bookmarkStart w:id="74" w:name="_Toc14968"/>
    </w:p>
    <w:p w14:paraId="0E7AC7BC">
      <w:pPr>
        <w:outlineLvl w:val="9"/>
        <w:rPr>
          <w:rFonts w:hint="eastAsia" w:ascii="仿宋" w:hAnsi="仿宋" w:eastAsia="仿宋" w:cs="仿宋"/>
          <w:highlight w:val="none"/>
          <w:lang w:val="en-US" w:eastAsia="zh-CN"/>
        </w:rPr>
      </w:pPr>
      <w:r>
        <w:rPr>
          <w:rFonts w:hint="eastAsia" w:ascii="仿宋" w:hAnsi="仿宋" w:eastAsia="仿宋" w:cs="仿宋"/>
          <w:highlight w:val="none"/>
          <w:lang w:val="en-US" w:eastAsia="zh-CN"/>
        </w:rPr>
        <w:br w:type="page"/>
      </w:r>
    </w:p>
    <w:p w14:paraId="17EABCAC">
      <w:pPr>
        <w:bidi w:val="0"/>
        <w:outlineLvl w:val="9"/>
        <w:rPr>
          <w:rFonts w:hint="eastAsia" w:ascii="仿宋" w:hAnsi="仿宋" w:eastAsia="仿宋" w:cs="仿宋"/>
          <w:highlight w:val="none"/>
          <w:lang w:val="en-US" w:eastAsia="zh-CN"/>
        </w:rPr>
      </w:pPr>
    </w:p>
    <w:p w14:paraId="13412E1B">
      <w:pPr>
        <w:widowControl/>
        <w:tabs>
          <w:tab w:val="left" w:pos="567"/>
        </w:tabs>
        <w:snapToGrid w:val="0"/>
        <w:spacing w:line="360" w:lineRule="auto"/>
        <w:outlineLvl w:val="9"/>
        <w:rPr>
          <w:rFonts w:hint="eastAsia" w:ascii="仿宋" w:hAnsi="仿宋" w:eastAsia="仿宋" w:cs="仿宋"/>
          <w:b/>
          <w:bCs/>
          <w:sz w:val="21"/>
          <w:szCs w:val="21"/>
          <w:highlight w:val="none"/>
        </w:rPr>
      </w:pPr>
      <w:bookmarkStart w:id="75" w:name="_Toc1351"/>
      <w:bookmarkStart w:id="76" w:name="_Toc20002"/>
      <w:r>
        <w:rPr>
          <w:rFonts w:hint="eastAsia" w:ascii="仿宋" w:hAnsi="仿宋" w:eastAsia="仿宋" w:cs="仿宋"/>
          <w:b/>
          <w:bCs/>
          <w:sz w:val="21"/>
          <w:szCs w:val="21"/>
          <w:highlight w:val="none"/>
          <w:lang w:val="en-US" w:eastAsia="zh-CN"/>
        </w:rPr>
        <w:t>8</w:t>
      </w:r>
      <w:r>
        <w:rPr>
          <w:rFonts w:hint="eastAsia" w:ascii="仿宋" w:hAnsi="仿宋" w:eastAsia="仿宋" w:cs="仿宋"/>
          <w:b/>
          <w:bCs/>
          <w:sz w:val="21"/>
          <w:szCs w:val="21"/>
          <w:highlight w:val="none"/>
        </w:rPr>
        <w:t>．</w:t>
      </w:r>
      <w:r>
        <w:rPr>
          <w:rFonts w:hint="eastAsia" w:ascii="仿宋" w:hAnsi="仿宋" w:eastAsia="仿宋" w:cs="仿宋"/>
          <w:b/>
          <w:bCs/>
          <w:sz w:val="21"/>
          <w:szCs w:val="21"/>
          <w:highlight w:val="none"/>
          <w:lang w:eastAsia="zh-CN"/>
        </w:rPr>
        <w:t>供应商</w:t>
      </w:r>
      <w:r>
        <w:rPr>
          <w:rFonts w:hint="eastAsia" w:ascii="仿宋" w:hAnsi="仿宋" w:eastAsia="仿宋" w:cs="仿宋"/>
          <w:b/>
          <w:bCs/>
          <w:sz w:val="21"/>
          <w:szCs w:val="21"/>
          <w:highlight w:val="none"/>
        </w:rPr>
        <w:t>基本存款账户开户许可证（或</w:t>
      </w:r>
      <w:r>
        <w:rPr>
          <w:rFonts w:hint="eastAsia" w:ascii="仿宋" w:hAnsi="仿宋" w:eastAsia="仿宋" w:cs="仿宋"/>
          <w:b/>
          <w:bCs/>
          <w:sz w:val="21"/>
          <w:szCs w:val="21"/>
          <w:highlight w:val="none"/>
          <w:lang w:eastAsia="zh-CN"/>
        </w:rPr>
        <w:t>基本存款账户开户证明</w:t>
      </w:r>
      <w:r>
        <w:rPr>
          <w:rFonts w:hint="eastAsia" w:ascii="仿宋" w:hAnsi="仿宋" w:eastAsia="仿宋" w:cs="仿宋"/>
          <w:b/>
          <w:bCs/>
          <w:sz w:val="21"/>
          <w:szCs w:val="21"/>
          <w:highlight w:val="none"/>
        </w:rPr>
        <w:t>复印件）及投标保证金</w:t>
      </w:r>
      <w:r>
        <w:rPr>
          <w:rFonts w:hint="eastAsia" w:ascii="仿宋" w:hAnsi="仿宋" w:eastAsia="仿宋" w:cs="仿宋"/>
          <w:b/>
          <w:bCs/>
          <w:sz w:val="21"/>
          <w:szCs w:val="21"/>
          <w:highlight w:val="none"/>
          <w:lang w:val="en-US" w:eastAsia="zh-CN"/>
        </w:rPr>
        <w:t>凭证</w:t>
      </w:r>
      <w:r>
        <w:rPr>
          <w:rFonts w:hint="eastAsia" w:ascii="仿宋" w:hAnsi="仿宋" w:eastAsia="仿宋" w:cs="仿宋"/>
          <w:b/>
          <w:bCs/>
          <w:sz w:val="21"/>
          <w:szCs w:val="21"/>
          <w:highlight w:val="none"/>
        </w:rPr>
        <w:t>；（复印件或影印件须加盖</w:t>
      </w:r>
      <w:r>
        <w:rPr>
          <w:rFonts w:hint="eastAsia" w:ascii="仿宋" w:hAnsi="仿宋" w:eastAsia="仿宋" w:cs="仿宋"/>
          <w:b/>
          <w:bCs/>
          <w:sz w:val="21"/>
          <w:szCs w:val="21"/>
          <w:highlight w:val="none"/>
          <w:lang w:eastAsia="zh-CN"/>
        </w:rPr>
        <w:t>供应商</w:t>
      </w:r>
      <w:r>
        <w:rPr>
          <w:rFonts w:hint="eastAsia" w:ascii="仿宋" w:hAnsi="仿宋" w:eastAsia="仿宋" w:cs="仿宋"/>
          <w:b/>
          <w:bCs/>
          <w:sz w:val="21"/>
          <w:szCs w:val="21"/>
          <w:highlight w:val="none"/>
        </w:rPr>
        <w:t>公章）</w:t>
      </w:r>
      <w:bookmarkEnd w:id="73"/>
      <w:bookmarkEnd w:id="74"/>
      <w:bookmarkEnd w:id="75"/>
      <w:bookmarkEnd w:id="76"/>
    </w:p>
    <w:p w14:paraId="5ACFAC8C">
      <w:pPr>
        <w:bidi w:val="0"/>
        <w:rPr>
          <w:rFonts w:hint="eastAsia" w:ascii="仿宋" w:hAnsi="仿宋" w:eastAsia="仿宋" w:cs="仿宋"/>
          <w:highlight w:val="none"/>
        </w:rPr>
      </w:pPr>
    </w:p>
    <w:p w14:paraId="09886E74">
      <w:pPr>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br w:type="page"/>
      </w:r>
    </w:p>
    <w:p w14:paraId="453B7FC6">
      <w:pPr>
        <w:numPr>
          <w:ilvl w:val="0"/>
          <w:numId w:val="0"/>
        </w:numPr>
        <w:snapToGrid w:val="0"/>
        <w:spacing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lang w:val="en-US" w:eastAsia="zh-CN"/>
        </w:rPr>
        <w:t>9.</w:t>
      </w:r>
      <w:r>
        <w:rPr>
          <w:rFonts w:hint="eastAsia" w:ascii="仿宋" w:hAnsi="仿宋" w:eastAsia="仿宋" w:cs="仿宋"/>
          <w:b/>
          <w:bCs/>
          <w:color w:val="auto"/>
          <w:highlight w:val="none"/>
        </w:rPr>
        <w:t>落实政府采购政策资格要求的证明文件：无</w:t>
      </w:r>
    </w:p>
    <w:p w14:paraId="67AA5AD9">
      <w:pPr>
        <w:rPr>
          <w:rFonts w:hint="eastAsia" w:ascii="仿宋" w:hAnsi="仿宋" w:eastAsia="仿宋" w:cs="仿宋"/>
          <w:b/>
          <w:bCs/>
          <w:color w:val="auto"/>
          <w:highlight w:val="none"/>
        </w:rPr>
      </w:pPr>
      <w:r>
        <w:rPr>
          <w:rFonts w:hint="eastAsia" w:ascii="仿宋" w:hAnsi="仿宋" w:eastAsia="仿宋" w:cs="仿宋"/>
          <w:b/>
          <w:bCs/>
          <w:color w:val="auto"/>
          <w:highlight w:val="none"/>
        </w:rPr>
        <w:br w:type="page"/>
      </w:r>
    </w:p>
    <w:p w14:paraId="26E6EE2D">
      <w:pPr>
        <w:numPr>
          <w:ilvl w:val="0"/>
          <w:numId w:val="0"/>
        </w:numPr>
        <w:snapToGrid w:val="0"/>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highlight w:val="none"/>
        </w:rPr>
        <w:t>10.本项目的特定资格要求证明材料：</w:t>
      </w:r>
      <w:r>
        <w:rPr>
          <w:rFonts w:hint="eastAsia" w:ascii="仿宋" w:hAnsi="仿宋" w:eastAsia="仿宋" w:cs="仿宋"/>
          <w:b/>
          <w:bCs/>
          <w:color w:val="auto"/>
          <w:highlight w:val="none"/>
          <w:lang w:eastAsia="zh-CN"/>
        </w:rPr>
        <w:t>无</w:t>
      </w:r>
      <w:r>
        <w:rPr>
          <w:rFonts w:hint="eastAsia" w:ascii="仿宋" w:hAnsi="仿宋" w:eastAsia="仿宋" w:cs="仿宋"/>
          <w:b/>
          <w:bCs/>
          <w:color w:val="auto"/>
          <w:highlight w:val="none"/>
        </w:rPr>
        <w:t>。</w:t>
      </w:r>
    </w:p>
    <w:p w14:paraId="3222CB67">
      <w:pPr>
        <w:numPr>
          <w:ilvl w:val="0"/>
          <w:numId w:val="0"/>
        </w:numPr>
        <w:snapToGrid w:val="0"/>
        <w:spacing w:line="360" w:lineRule="auto"/>
        <w:rPr>
          <w:rFonts w:hint="eastAsia" w:ascii="仿宋" w:hAnsi="仿宋" w:eastAsia="仿宋" w:cs="仿宋"/>
          <w:b/>
          <w:bCs/>
          <w:color w:val="auto"/>
          <w:sz w:val="24"/>
          <w:highlight w:val="none"/>
          <w:lang w:val="en-US" w:eastAsia="zh-CN"/>
        </w:rPr>
      </w:pPr>
    </w:p>
    <w:p w14:paraId="42CC3C94">
      <w:pPr>
        <w:widowControl/>
        <w:snapToGrid w:val="0"/>
        <w:spacing w:line="360" w:lineRule="auto"/>
        <w:jc w:val="cente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r>
        <w:rPr>
          <w:rFonts w:hint="eastAsia" w:ascii="仿宋" w:hAnsi="仿宋" w:eastAsia="仿宋" w:cs="仿宋"/>
          <w:b/>
          <w:color w:val="auto"/>
          <w:kern w:val="0"/>
          <w:sz w:val="24"/>
          <w:szCs w:val="24"/>
          <w:highlight w:val="none"/>
        </w:rPr>
        <w:t>商务、技术部分</w:t>
      </w:r>
    </w:p>
    <w:p w14:paraId="47C2B191">
      <w:pPr>
        <w:widowControl/>
        <w:tabs>
          <w:tab w:val="left" w:pos="567"/>
        </w:tabs>
        <w:snapToGrid w:val="0"/>
        <w:spacing w:line="360" w:lineRule="auto"/>
        <w:jc w:val="lef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1．谈判函格式</w:t>
      </w:r>
    </w:p>
    <w:p w14:paraId="37BF63EA">
      <w:pPr>
        <w:spacing w:line="480" w:lineRule="exact"/>
        <w:jc w:val="center"/>
        <w:rPr>
          <w:rFonts w:hint="eastAsia" w:ascii="仿宋" w:hAnsi="仿宋" w:eastAsia="仿宋" w:cs="仿宋"/>
          <w:color w:val="auto"/>
          <w:kern w:val="0"/>
          <w:sz w:val="24"/>
          <w:szCs w:val="24"/>
          <w:highlight w:val="none"/>
          <w:u w:val="single"/>
        </w:rPr>
      </w:pPr>
      <w:r>
        <w:rPr>
          <w:rFonts w:hint="eastAsia" w:ascii="仿宋" w:hAnsi="仿宋" w:eastAsia="仿宋" w:cs="仿宋"/>
          <w:b/>
          <w:color w:val="auto"/>
          <w:kern w:val="0"/>
          <w:sz w:val="24"/>
          <w:szCs w:val="24"/>
          <w:highlight w:val="none"/>
        </w:rPr>
        <w:t>谈  判  函</w:t>
      </w:r>
    </w:p>
    <w:p w14:paraId="6A055B95">
      <w:pPr>
        <w:keepNext w:val="0"/>
        <w:keepLines w:val="0"/>
        <w:pageBreakBefore w:val="0"/>
        <w:kinsoku/>
        <w:wordWrap/>
        <w:overflowPunct/>
        <w:topLinePunct w:val="0"/>
        <w:autoSpaceDE/>
        <w:autoSpaceDN/>
        <w:bidi w:val="0"/>
        <w:adjustRightInd/>
        <w:spacing w:line="360" w:lineRule="auto"/>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u w:val="single"/>
          <w:lang w:val="en-US" w:eastAsia="zh-CN"/>
        </w:rPr>
        <w:t>采购人名称、</w:t>
      </w:r>
      <w:r>
        <w:rPr>
          <w:rFonts w:hint="eastAsia" w:ascii="仿宋" w:hAnsi="仿宋" w:eastAsia="仿宋" w:cs="仿宋"/>
          <w:color w:val="auto"/>
          <w:kern w:val="0"/>
          <w:sz w:val="24"/>
          <w:szCs w:val="24"/>
          <w:highlight w:val="none"/>
          <w:u w:val="single"/>
          <w:lang w:eastAsia="zh-CN"/>
        </w:rPr>
        <w:t>采购</w:t>
      </w:r>
      <w:r>
        <w:rPr>
          <w:rFonts w:hint="eastAsia" w:ascii="仿宋" w:hAnsi="仿宋" w:eastAsia="仿宋" w:cs="仿宋"/>
          <w:color w:val="auto"/>
          <w:kern w:val="0"/>
          <w:sz w:val="24"/>
          <w:szCs w:val="24"/>
          <w:highlight w:val="none"/>
          <w:u w:val="single"/>
        </w:rPr>
        <w:t>代理公司名称</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sz w:val="24"/>
          <w:szCs w:val="24"/>
          <w:highlight w:val="none"/>
          <w:u w:val="single"/>
        </w:rPr>
        <w:t>：</w:t>
      </w:r>
    </w:p>
    <w:p w14:paraId="2F1269E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u w:val="single"/>
        </w:rPr>
        <w:t xml:space="preserve">                           （供应商全称）</w:t>
      </w:r>
      <w:r>
        <w:rPr>
          <w:rFonts w:hint="eastAsia" w:ascii="仿宋" w:hAnsi="仿宋" w:eastAsia="仿宋" w:cs="仿宋"/>
          <w:color w:val="auto"/>
          <w:kern w:val="0"/>
          <w:sz w:val="24"/>
          <w:szCs w:val="24"/>
          <w:highlight w:val="none"/>
        </w:rPr>
        <w:t>授权</w:t>
      </w:r>
      <w:r>
        <w:rPr>
          <w:rFonts w:hint="eastAsia" w:ascii="仿宋" w:hAnsi="仿宋" w:eastAsia="仿宋" w:cs="仿宋"/>
          <w:color w:val="auto"/>
          <w:kern w:val="0"/>
          <w:sz w:val="24"/>
          <w:szCs w:val="24"/>
          <w:highlight w:val="none"/>
          <w:u w:val="single"/>
        </w:rPr>
        <w:t xml:space="preserve">            （供应商授权代表姓名)            (职务、职称)</w:t>
      </w:r>
      <w:r>
        <w:rPr>
          <w:rFonts w:hint="eastAsia" w:ascii="仿宋" w:hAnsi="仿宋" w:eastAsia="仿宋" w:cs="仿宋"/>
          <w:color w:val="auto"/>
          <w:kern w:val="0"/>
          <w:sz w:val="24"/>
          <w:szCs w:val="24"/>
          <w:highlight w:val="none"/>
        </w:rPr>
        <w:t>为我方代表，参加贵方组织的</w:t>
      </w:r>
      <w:r>
        <w:rPr>
          <w:rFonts w:hint="eastAsia" w:ascii="仿宋" w:hAnsi="仿宋" w:eastAsia="仿宋" w:cs="仿宋"/>
          <w:color w:val="auto"/>
          <w:kern w:val="0"/>
          <w:sz w:val="24"/>
          <w:szCs w:val="24"/>
          <w:highlight w:val="none"/>
          <w:u w:val="single"/>
        </w:rPr>
        <w:t xml:space="preserve">            （项目名称）</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u w:val="single"/>
        </w:rPr>
        <w:t xml:space="preserve">               （项目编号</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u w:val="single"/>
          <w:lang w:val="en-US" w:eastAsia="zh-CN"/>
        </w:rPr>
        <w:t>采购编号</w:t>
      </w:r>
      <w:r>
        <w:rPr>
          <w:rFonts w:hint="eastAsia" w:ascii="仿宋" w:hAnsi="仿宋" w:eastAsia="仿宋" w:cs="仿宋"/>
          <w:color w:val="auto"/>
          <w:kern w:val="0"/>
          <w:sz w:val="24"/>
          <w:szCs w:val="24"/>
          <w:highlight w:val="none"/>
          <w:u w:val="single"/>
        </w:rPr>
        <w:t>）</w:t>
      </w:r>
      <w:r>
        <w:rPr>
          <w:rFonts w:hint="eastAsia" w:ascii="仿宋" w:hAnsi="仿宋" w:eastAsia="仿宋" w:cs="仿宋"/>
          <w:color w:val="auto"/>
          <w:kern w:val="0"/>
          <w:sz w:val="24"/>
          <w:szCs w:val="24"/>
          <w:highlight w:val="none"/>
        </w:rPr>
        <w:t>谈判的有关活动，并对此项目进行报价。为此：</w:t>
      </w:r>
    </w:p>
    <w:p w14:paraId="20AC5BC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1．我方同意在本项目响应文件中规定的响应文件递交截止之日起</w:t>
      </w:r>
      <w:r>
        <w:rPr>
          <w:rFonts w:hint="eastAsia" w:ascii="仿宋" w:hAnsi="仿宋" w:eastAsia="仿宋" w:cs="仿宋"/>
          <w:color w:val="auto"/>
          <w:kern w:val="0"/>
          <w:sz w:val="24"/>
          <w:szCs w:val="24"/>
          <w:highlight w:val="none"/>
          <w:u w:val="none"/>
          <w:lang w:val="en-US" w:eastAsia="zh-CN"/>
        </w:rPr>
        <w:t>90</w:t>
      </w:r>
      <w:r>
        <w:rPr>
          <w:rFonts w:hint="eastAsia" w:ascii="仿宋" w:hAnsi="仿宋" w:eastAsia="仿宋" w:cs="仿宋"/>
          <w:color w:val="auto"/>
          <w:kern w:val="0"/>
          <w:sz w:val="24"/>
          <w:szCs w:val="24"/>
          <w:highlight w:val="none"/>
        </w:rPr>
        <w:t>日历天内遵守本响应文件中的承诺且在此期限期满之前均具有约束力。</w:t>
      </w:r>
    </w:p>
    <w:p w14:paraId="5300BFC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2．我方承诺已经具备《中华人民共和国政府采购法》中规定的参加政府采购活动的供应商应当具备的全部条件。</w:t>
      </w:r>
    </w:p>
    <w:p w14:paraId="67CBC281">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3．提供报价须知规定的全部响应文件，包括响应文件正本、副本。</w:t>
      </w:r>
    </w:p>
    <w:p w14:paraId="46856ED8">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4．按响应文件要求提供和交付的货物和服务的报价详见报价一览表。</w:t>
      </w:r>
    </w:p>
    <w:p w14:paraId="0B69089C">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5．我方承诺：完全理解并接受报价超过预算金额时，谈判将被拒绝。</w:t>
      </w:r>
    </w:p>
    <w:p w14:paraId="6B0A9A0A">
      <w:pPr>
        <w:widowControl/>
        <w:tabs>
          <w:tab w:val="left" w:pos="1680"/>
        </w:tabs>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6．保证忠实地执行双方所签订的合同，并承担合同规定的责任和义务。</w:t>
      </w:r>
    </w:p>
    <w:p w14:paraId="548D9C2A">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7．承诺完全满足和响应响应文件中的各项商务和技术要求，若有偏差，已在响应文件商务和技术条款偏离表中予以明确特别说明。</w:t>
      </w:r>
    </w:p>
    <w:p w14:paraId="3D5C5573">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8．保证遵守响应文件的规定。</w:t>
      </w:r>
    </w:p>
    <w:p w14:paraId="2C194693">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9．如果在规定的</w:t>
      </w:r>
      <w:r>
        <w:rPr>
          <w:rFonts w:hint="eastAsia" w:ascii="仿宋" w:hAnsi="仿宋" w:eastAsia="仿宋" w:cs="仿宋"/>
          <w:color w:val="auto"/>
          <w:kern w:val="0"/>
          <w:sz w:val="24"/>
          <w:szCs w:val="24"/>
          <w:highlight w:val="none"/>
          <w:lang w:eastAsia="zh-CN"/>
        </w:rPr>
        <w:t>响应有效期</w:t>
      </w:r>
      <w:r>
        <w:rPr>
          <w:rFonts w:hint="eastAsia" w:ascii="仿宋" w:hAnsi="仿宋" w:eastAsia="仿宋" w:cs="仿宋"/>
          <w:color w:val="auto"/>
          <w:kern w:val="0"/>
          <w:sz w:val="24"/>
          <w:szCs w:val="24"/>
          <w:highlight w:val="none"/>
        </w:rPr>
        <w:t>内撤回响应文件，我方的谈判保证金可被贵方没收。</w:t>
      </w:r>
    </w:p>
    <w:p w14:paraId="3D59D6C0">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10．我方完全理解贵方不接受可选择性报价。</w:t>
      </w:r>
    </w:p>
    <w:p w14:paraId="5DC8C6A3">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11．我方愿意向贵方提供任何与本项谈判有关的数据、情况和技术资料。若贵方需要，我方愿意提供我方做出的一切承诺的证明材料。</w:t>
      </w:r>
    </w:p>
    <w:p w14:paraId="68145975">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12．我方已详细审核全部响应文件，包括响应文件修改书（如有的话）、参考资料及有关附件，确认无误。</w:t>
      </w:r>
    </w:p>
    <w:p w14:paraId="341C9B74">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13．我方承诺：采购人若需追加采购本项目响应文件所列货物及相关服务的，在不改变合同其他实质性条款的前提下，按相同或更优惠的折扣率保证供货。</w:t>
      </w:r>
    </w:p>
    <w:p w14:paraId="6AF2D47A">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14．我方承诺接受谈判文件中《</w:t>
      </w:r>
      <w:r>
        <w:rPr>
          <w:rFonts w:hint="eastAsia" w:ascii="仿宋" w:hAnsi="仿宋" w:eastAsia="仿宋" w:cs="仿宋"/>
          <w:color w:val="auto"/>
          <w:kern w:val="0"/>
          <w:sz w:val="24"/>
          <w:szCs w:val="24"/>
          <w:highlight w:val="none"/>
          <w:lang w:val="en-US" w:eastAsia="zh-CN"/>
        </w:rPr>
        <w:t>政府采购合同</w:t>
      </w:r>
      <w:r>
        <w:rPr>
          <w:rFonts w:hint="eastAsia" w:ascii="仿宋" w:hAnsi="仿宋" w:eastAsia="仿宋" w:cs="仿宋"/>
          <w:color w:val="auto"/>
          <w:kern w:val="0"/>
          <w:sz w:val="24"/>
          <w:szCs w:val="24"/>
          <w:highlight w:val="none"/>
        </w:rPr>
        <w:t>》的全部条款且无任何异议。</w:t>
      </w:r>
    </w:p>
    <w:p w14:paraId="1B304EAF">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15．我方将严格遵守《中华人民共和国政府采购法》的有关规定，若有下列情形之一的，将被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18E973E5">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（1）提供虚假材料谋取中标、成交的；</w:t>
      </w:r>
    </w:p>
    <w:p w14:paraId="2138495B">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（2）采取不正当手段诋毁、排挤其他供应商的；</w:t>
      </w:r>
    </w:p>
    <w:p w14:paraId="437143E0">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（3）与采购人、其它供应商或者</w:t>
      </w:r>
      <w:r>
        <w:rPr>
          <w:rFonts w:hint="eastAsia" w:ascii="仿宋" w:hAnsi="仿宋" w:eastAsia="仿宋" w:cs="仿宋"/>
          <w:color w:val="auto"/>
          <w:kern w:val="0"/>
          <w:sz w:val="24"/>
          <w:szCs w:val="24"/>
          <w:highlight w:val="none"/>
          <w:lang w:eastAsia="zh-CN"/>
        </w:rPr>
        <w:t>采购代理机构</w:t>
      </w:r>
      <w:r>
        <w:rPr>
          <w:rFonts w:hint="eastAsia" w:ascii="仿宋" w:hAnsi="仿宋" w:eastAsia="仿宋" w:cs="仿宋"/>
          <w:color w:val="auto"/>
          <w:kern w:val="0"/>
          <w:sz w:val="24"/>
          <w:szCs w:val="24"/>
          <w:highlight w:val="none"/>
        </w:rPr>
        <w:t>工作人员恶意串通的；</w:t>
      </w:r>
    </w:p>
    <w:p w14:paraId="4CC2541A">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（4）向采购人、</w:t>
      </w:r>
      <w:r>
        <w:rPr>
          <w:rFonts w:hint="eastAsia" w:ascii="仿宋" w:hAnsi="仿宋" w:eastAsia="仿宋" w:cs="仿宋"/>
          <w:color w:val="auto"/>
          <w:kern w:val="0"/>
          <w:sz w:val="24"/>
          <w:szCs w:val="24"/>
          <w:highlight w:val="none"/>
          <w:lang w:eastAsia="zh-CN"/>
        </w:rPr>
        <w:t>采购代理机构</w:t>
      </w:r>
      <w:r>
        <w:rPr>
          <w:rFonts w:hint="eastAsia" w:ascii="仿宋" w:hAnsi="仿宋" w:eastAsia="仿宋" w:cs="仿宋"/>
          <w:color w:val="auto"/>
          <w:kern w:val="0"/>
          <w:sz w:val="24"/>
          <w:szCs w:val="24"/>
          <w:highlight w:val="none"/>
        </w:rPr>
        <w:t>工作人员行贿或者提供其他不正当利益的；</w:t>
      </w:r>
    </w:p>
    <w:p w14:paraId="58CD73F2">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（5）谈判截止时间后撤回报价的；</w:t>
      </w:r>
    </w:p>
    <w:p w14:paraId="59395425">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（6）在谈判期间，影响</w:t>
      </w:r>
      <w:r>
        <w:rPr>
          <w:rFonts w:hint="eastAsia" w:ascii="仿宋" w:hAnsi="仿宋" w:eastAsia="仿宋" w:cs="仿宋"/>
          <w:color w:val="auto"/>
          <w:kern w:val="0"/>
          <w:sz w:val="24"/>
          <w:szCs w:val="24"/>
          <w:highlight w:val="none"/>
          <w:lang w:eastAsia="zh-CN"/>
        </w:rPr>
        <w:t>采购代理机构</w:t>
      </w:r>
      <w:r>
        <w:rPr>
          <w:rFonts w:hint="eastAsia" w:ascii="仿宋" w:hAnsi="仿宋" w:eastAsia="仿宋" w:cs="仿宋"/>
          <w:color w:val="auto"/>
          <w:kern w:val="0"/>
          <w:sz w:val="24"/>
          <w:szCs w:val="24"/>
          <w:highlight w:val="none"/>
        </w:rPr>
        <w:t>或谈判小组正常履行职责的；</w:t>
      </w:r>
    </w:p>
    <w:p w14:paraId="468C4C18">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（7）未经</w:t>
      </w:r>
      <w:r>
        <w:rPr>
          <w:rFonts w:hint="eastAsia" w:ascii="仿宋" w:hAnsi="仿宋" w:eastAsia="仿宋" w:cs="仿宋"/>
          <w:color w:val="auto"/>
          <w:kern w:val="0"/>
          <w:sz w:val="24"/>
          <w:szCs w:val="24"/>
          <w:highlight w:val="none"/>
          <w:lang w:eastAsia="zh-CN"/>
        </w:rPr>
        <w:t>采购代理机构</w:t>
      </w:r>
      <w:r>
        <w:rPr>
          <w:rFonts w:hint="eastAsia" w:ascii="仿宋" w:hAnsi="仿宋" w:eastAsia="仿宋" w:cs="仿宋"/>
          <w:color w:val="auto"/>
          <w:kern w:val="0"/>
          <w:sz w:val="24"/>
          <w:szCs w:val="24"/>
          <w:highlight w:val="none"/>
        </w:rPr>
        <w:t>同意，在采购过程中与采购人进行协商谈判的；</w:t>
      </w:r>
    </w:p>
    <w:p w14:paraId="06727941">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（8）成交后未按谈判文件、响应文件及相关承诺规定签约或与采购人订立背离合同实质性内容的其它协议的；</w:t>
      </w:r>
    </w:p>
    <w:p w14:paraId="0C0208F6">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（9）未按响应文件规定和合同约定履行义务的；</w:t>
      </w:r>
    </w:p>
    <w:p w14:paraId="3B89CC8F">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（10）拒绝有关部门监督检查或提供虚假情况的；</w:t>
      </w:r>
    </w:p>
    <w:p w14:paraId="3602FD2D">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（11）违犯法律法规规定的其他行为。</w:t>
      </w:r>
    </w:p>
    <w:p w14:paraId="36D75DE4">
      <w:pPr>
        <w:widowControl/>
        <w:snapToGrid w:val="0"/>
        <w:spacing w:line="360" w:lineRule="auto"/>
        <w:jc w:val="left"/>
        <w:rPr>
          <w:rFonts w:hint="eastAsia" w:ascii="仿宋" w:hAnsi="仿宋" w:eastAsia="仿宋" w:cs="仿宋"/>
          <w:color w:val="auto"/>
          <w:kern w:val="0"/>
          <w:sz w:val="24"/>
          <w:szCs w:val="24"/>
          <w:highlight w:val="none"/>
        </w:rPr>
      </w:pPr>
    </w:p>
    <w:p w14:paraId="0C9F0346">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所有有关本谈判项目的一切往来联系方式为：</w:t>
      </w:r>
    </w:p>
    <w:p w14:paraId="16041C6F">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地址：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邮编：</w:t>
      </w:r>
      <w:r>
        <w:rPr>
          <w:rFonts w:hint="eastAsia" w:ascii="仿宋" w:hAnsi="仿宋" w:eastAsia="仿宋" w:cs="仿宋"/>
          <w:color w:val="auto"/>
          <w:kern w:val="0"/>
          <w:sz w:val="24"/>
          <w:szCs w:val="24"/>
          <w:highlight w:val="none"/>
          <w:u w:val="single"/>
        </w:rPr>
        <w:t xml:space="preserve">                   </w:t>
      </w:r>
    </w:p>
    <w:p w14:paraId="62031C7D">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传真：</w:t>
      </w:r>
      <w:r>
        <w:rPr>
          <w:rFonts w:hint="eastAsia" w:ascii="仿宋" w:hAnsi="仿宋" w:eastAsia="仿宋" w:cs="仿宋"/>
          <w:color w:val="auto"/>
          <w:kern w:val="0"/>
          <w:sz w:val="24"/>
          <w:szCs w:val="24"/>
          <w:highlight w:val="none"/>
          <w:u w:val="single"/>
        </w:rPr>
        <w:t xml:space="preserve">                   </w:t>
      </w:r>
    </w:p>
    <w:p w14:paraId="1C8A0EE6">
      <w:pPr>
        <w:widowControl/>
        <w:tabs>
          <w:tab w:val="left" w:pos="480"/>
        </w:tabs>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供应商授权代表姓名：</w:t>
      </w:r>
      <w:r>
        <w:rPr>
          <w:rFonts w:hint="eastAsia" w:ascii="仿宋" w:hAnsi="仿宋" w:eastAsia="仿宋" w:cs="仿宋"/>
          <w:color w:val="auto"/>
          <w:kern w:val="0"/>
          <w:sz w:val="24"/>
          <w:szCs w:val="24"/>
          <w:highlight w:val="none"/>
          <w:u w:val="single"/>
        </w:rPr>
        <w:t xml:space="preserve">                   </w:t>
      </w:r>
    </w:p>
    <w:p w14:paraId="51DECE66">
      <w:pPr>
        <w:widowControl/>
        <w:tabs>
          <w:tab w:val="left" w:pos="480"/>
        </w:tabs>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供应商授权代表联系电话：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（办公）</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（移动）</w:t>
      </w:r>
    </w:p>
    <w:p w14:paraId="0FA7AF37">
      <w:pPr>
        <w:widowControl/>
        <w:tabs>
          <w:tab w:val="left" w:pos="480"/>
        </w:tabs>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E-mail</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u w:val="single"/>
        </w:rPr>
        <w:t xml:space="preserve">                   </w:t>
      </w:r>
    </w:p>
    <w:p w14:paraId="559D75B0">
      <w:pPr>
        <w:widowControl/>
        <w:tabs>
          <w:tab w:val="left" w:pos="4000"/>
        </w:tabs>
        <w:snapToGrid w:val="0"/>
        <w:spacing w:line="48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ab/>
      </w:r>
    </w:p>
    <w:p w14:paraId="626B56DD">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szCs w:val="24"/>
          <w:highlight w:val="none"/>
        </w:rPr>
        <w:t>供应商名称：</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(盖章)</w:t>
      </w:r>
    </w:p>
    <w:p w14:paraId="2935A105">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highlight w:val="none"/>
          <w:lang w:eastAsia="zh-CN"/>
        </w:rPr>
        <w:t>法定代表人或供应商授权代表</w:t>
      </w:r>
      <w:r>
        <w:rPr>
          <w:rFonts w:hint="eastAsia" w:ascii="仿宋" w:hAnsi="仿宋" w:eastAsia="仿宋" w:cs="仿宋"/>
          <w:color w:val="auto"/>
          <w:spacing w:val="0"/>
          <w:kern w:val="21"/>
          <w:sz w:val="24"/>
          <w:szCs w:val="24"/>
          <w:highlight w:val="none"/>
        </w:rPr>
        <w:t>：</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w:t>
      </w:r>
      <w:r>
        <w:rPr>
          <w:rFonts w:hint="eastAsia" w:ascii="仿宋" w:hAnsi="仿宋" w:eastAsia="仿宋" w:cs="仿宋"/>
          <w:color w:val="auto"/>
          <w:spacing w:val="0"/>
          <w:kern w:val="21"/>
          <w:sz w:val="24"/>
          <w:szCs w:val="24"/>
          <w:highlight w:val="none"/>
          <w:lang w:eastAsia="zh-CN"/>
        </w:rPr>
        <w:t>签字或盖章</w:t>
      </w:r>
      <w:r>
        <w:rPr>
          <w:rFonts w:hint="eastAsia" w:ascii="仿宋" w:hAnsi="仿宋" w:eastAsia="仿宋" w:cs="仿宋"/>
          <w:color w:val="auto"/>
          <w:spacing w:val="0"/>
          <w:kern w:val="21"/>
          <w:sz w:val="24"/>
          <w:szCs w:val="24"/>
          <w:highlight w:val="none"/>
        </w:rPr>
        <w:t>)</w:t>
      </w:r>
    </w:p>
    <w:p w14:paraId="7AB581FE">
      <w:pPr>
        <w:keepNext w:val="0"/>
        <w:keepLines w:val="0"/>
        <w:pageBreakBefore w:val="0"/>
        <w:widowControl/>
        <w:tabs>
          <w:tab w:val="left" w:pos="567"/>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highlight w:val="none"/>
        </w:rPr>
      </w:pPr>
      <w:r>
        <w:rPr>
          <w:rFonts w:hint="eastAsia" w:ascii="仿宋" w:hAnsi="仿宋" w:eastAsia="仿宋" w:cs="仿宋"/>
          <w:color w:val="auto"/>
          <w:spacing w:val="0"/>
          <w:kern w:val="21"/>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p>
    <w:p w14:paraId="36BA0010">
      <w:pPr>
        <w:keepNext w:val="0"/>
        <w:keepLines w:val="0"/>
        <w:pageBreakBefore w:val="0"/>
        <w:widowControl/>
        <w:tabs>
          <w:tab w:val="left" w:pos="567"/>
        </w:tabs>
        <w:kinsoku/>
        <w:wordWrap/>
        <w:overflowPunct/>
        <w:topLinePunct w:val="0"/>
        <w:autoSpaceDE/>
        <w:autoSpaceDN/>
        <w:bidi w:val="0"/>
        <w:adjustRightInd/>
        <w:snapToGrid w:val="0"/>
        <w:spacing w:line="360" w:lineRule="auto"/>
        <w:jc w:val="left"/>
        <w:textAlignment w:val="auto"/>
        <w:rPr>
          <w:rFonts w:hint="eastAsia" w:ascii="仿宋" w:hAnsi="仿宋" w:eastAsia="仿宋" w:cs="仿宋"/>
          <w:b/>
          <w:color w:val="auto"/>
          <w:kern w:val="0"/>
          <w:sz w:val="24"/>
          <w:szCs w:val="24"/>
          <w:highlight w:val="none"/>
        </w:rPr>
      </w:pPr>
      <w:r>
        <w:rPr>
          <w:rFonts w:hint="eastAsia" w:ascii="仿宋" w:hAnsi="仿宋" w:eastAsia="仿宋" w:cs="仿宋"/>
          <w:color w:val="auto"/>
          <w:kern w:val="0"/>
          <w:highlight w:val="none"/>
        </w:rPr>
        <w:br w:type="page"/>
      </w:r>
      <w:r>
        <w:rPr>
          <w:rFonts w:hint="eastAsia" w:ascii="仿宋" w:hAnsi="仿宋" w:eastAsia="仿宋" w:cs="仿宋"/>
          <w:b/>
          <w:color w:val="auto"/>
          <w:kern w:val="0"/>
          <w:sz w:val="24"/>
          <w:szCs w:val="24"/>
          <w:highlight w:val="none"/>
        </w:rPr>
        <w:t>2．法定代表人（负责人）身份证明书</w:t>
      </w:r>
    </w:p>
    <w:p w14:paraId="6C8CA561">
      <w:pPr>
        <w:keepNext w:val="0"/>
        <w:keepLines w:val="0"/>
        <w:pageBreakBefore w:val="0"/>
        <w:widowControl/>
        <w:kinsoku/>
        <w:wordWrap/>
        <w:overflowPunct/>
        <w:topLinePunct w:val="0"/>
        <w:autoSpaceDE/>
        <w:autoSpaceDN/>
        <w:bidi w:val="0"/>
        <w:adjustRightInd/>
        <w:snapToGrid w:val="0"/>
        <w:spacing w:line="360" w:lineRule="auto"/>
        <w:ind w:left="562" w:hanging="482" w:hangingChars="200"/>
        <w:jc w:val="center"/>
        <w:textAlignment w:val="auto"/>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法定代表人（负责人）身份证明</w:t>
      </w:r>
    </w:p>
    <w:p w14:paraId="0BFC93CA">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单位名称：</w:t>
      </w:r>
      <w:r>
        <w:rPr>
          <w:rFonts w:hint="eastAsia" w:ascii="仿宋" w:hAnsi="仿宋" w:eastAsia="仿宋" w:cs="仿宋"/>
          <w:color w:val="auto"/>
          <w:kern w:val="0"/>
          <w:sz w:val="24"/>
          <w:szCs w:val="24"/>
          <w:highlight w:val="none"/>
          <w:u w:val="single"/>
          <w:lang w:val="en-US" w:eastAsia="zh-CN"/>
        </w:rPr>
        <w:t xml:space="preserve">                      </w:t>
      </w:r>
    </w:p>
    <w:p w14:paraId="263D0A07">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单位性质：</w:t>
      </w:r>
      <w:r>
        <w:rPr>
          <w:rFonts w:hint="eastAsia" w:ascii="仿宋" w:hAnsi="仿宋" w:eastAsia="仿宋" w:cs="仿宋"/>
          <w:color w:val="auto"/>
          <w:kern w:val="0"/>
          <w:sz w:val="24"/>
          <w:szCs w:val="24"/>
          <w:highlight w:val="none"/>
          <w:u w:val="single"/>
          <w:lang w:val="en-US" w:eastAsia="zh-CN"/>
        </w:rPr>
        <w:t xml:space="preserve">                      </w:t>
      </w:r>
    </w:p>
    <w:p w14:paraId="5F8D9ADA">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地    址：</w:t>
      </w:r>
      <w:r>
        <w:rPr>
          <w:rFonts w:hint="eastAsia" w:ascii="仿宋" w:hAnsi="仿宋" w:eastAsia="仿宋" w:cs="仿宋"/>
          <w:color w:val="auto"/>
          <w:kern w:val="0"/>
          <w:sz w:val="24"/>
          <w:szCs w:val="24"/>
          <w:highlight w:val="none"/>
          <w:u w:val="single"/>
          <w:lang w:val="en-US" w:eastAsia="zh-CN"/>
        </w:rPr>
        <w:t xml:space="preserve">                      </w:t>
      </w:r>
    </w:p>
    <w:p w14:paraId="61302A24">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成立时间：</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年</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月</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日</w:t>
      </w:r>
    </w:p>
    <w:p w14:paraId="41D366F2">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经营期限：</w:t>
      </w:r>
      <w:r>
        <w:rPr>
          <w:rFonts w:hint="eastAsia" w:ascii="仿宋" w:hAnsi="仿宋" w:eastAsia="仿宋" w:cs="仿宋"/>
          <w:color w:val="auto"/>
          <w:kern w:val="0"/>
          <w:sz w:val="24"/>
          <w:szCs w:val="24"/>
          <w:highlight w:val="none"/>
          <w:u w:val="single"/>
          <w:lang w:val="en-US" w:eastAsia="zh-CN"/>
        </w:rPr>
        <w:t xml:space="preserve">                      </w:t>
      </w:r>
    </w:p>
    <w:p w14:paraId="4A81CAFF">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姓    名：</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性  别：</w:t>
      </w:r>
      <w:r>
        <w:rPr>
          <w:rFonts w:hint="eastAsia" w:ascii="仿宋" w:hAnsi="仿宋" w:eastAsia="仿宋" w:cs="仿宋"/>
          <w:color w:val="auto"/>
          <w:kern w:val="0"/>
          <w:sz w:val="24"/>
          <w:szCs w:val="24"/>
          <w:highlight w:val="none"/>
          <w:u w:val="single"/>
        </w:rPr>
        <w:t xml:space="preserve">         </w:t>
      </w:r>
    </w:p>
    <w:p w14:paraId="008039C6">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年    龄：</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职  务： </w:t>
      </w:r>
      <w:r>
        <w:rPr>
          <w:rFonts w:hint="eastAsia" w:ascii="仿宋" w:hAnsi="仿宋" w:eastAsia="仿宋" w:cs="仿宋"/>
          <w:color w:val="auto"/>
          <w:kern w:val="0"/>
          <w:sz w:val="24"/>
          <w:szCs w:val="24"/>
          <w:highlight w:val="none"/>
          <w:u w:val="single"/>
        </w:rPr>
        <w:t xml:space="preserve">         </w:t>
      </w:r>
    </w:p>
    <w:p w14:paraId="128D27EC">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u w:val="single"/>
        </w:rPr>
        <w:t xml:space="preserve">   （供应商名称）          </w:t>
      </w:r>
      <w:r>
        <w:rPr>
          <w:rFonts w:hint="eastAsia" w:ascii="仿宋" w:hAnsi="仿宋" w:eastAsia="仿宋" w:cs="仿宋"/>
          <w:color w:val="auto"/>
          <w:kern w:val="0"/>
          <w:sz w:val="24"/>
          <w:szCs w:val="24"/>
          <w:highlight w:val="none"/>
          <w:u w:val="none"/>
        </w:rPr>
        <w:t>的法定代表人。</w:t>
      </w:r>
    </w:p>
    <w:p w14:paraId="7FF4F517">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w:t>
      </w:r>
    </w:p>
    <w:p w14:paraId="18C6A17A">
      <w:pPr>
        <w:keepNext w:val="0"/>
        <w:keepLines w:val="0"/>
        <w:pageBreakBefore w:val="0"/>
        <w:widowControl/>
        <w:kinsoku/>
        <w:wordWrap/>
        <w:overflowPunct/>
        <w:topLinePunct w:val="0"/>
        <w:autoSpaceDE/>
        <w:autoSpaceDN/>
        <w:bidi w:val="0"/>
        <w:adjustRightInd/>
        <w:snapToGrid w:val="0"/>
        <w:spacing w:line="360" w:lineRule="auto"/>
        <w:ind w:firstLine="960" w:firstLineChars="4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特此证明。</w:t>
      </w:r>
    </w:p>
    <w:p w14:paraId="4B6B9BD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w:t>
      </w:r>
    </w:p>
    <w:p w14:paraId="3BEFF80C">
      <w:pPr>
        <w:keepNext w:val="0"/>
        <w:keepLines w:val="0"/>
        <w:pageBreakBefore w:val="0"/>
        <w:widowControl/>
        <w:tabs>
          <w:tab w:val="left" w:pos="4000"/>
        </w:tabs>
        <w:kinsoku/>
        <w:wordWrap/>
        <w:overflowPunct/>
        <w:topLinePunct w:val="0"/>
        <w:autoSpaceDE/>
        <w:autoSpaceDN/>
        <w:bidi w:val="0"/>
        <w:adjustRightInd/>
        <w:snapToGrid/>
        <w:spacing w:line="360" w:lineRule="auto"/>
        <w:ind w:firstLine="3393" w:firstLineChars="1414"/>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（盖章）</w:t>
      </w:r>
    </w:p>
    <w:p w14:paraId="541ED74B">
      <w:pPr>
        <w:keepNext w:val="0"/>
        <w:keepLines w:val="0"/>
        <w:pageBreakBefore w:val="0"/>
        <w:widowControl/>
        <w:tabs>
          <w:tab w:val="left" w:pos="4000"/>
        </w:tabs>
        <w:kinsoku/>
        <w:wordWrap/>
        <w:overflowPunct/>
        <w:topLinePunct w:val="0"/>
        <w:autoSpaceDE/>
        <w:autoSpaceDN/>
        <w:bidi w:val="0"/>
        <w:adjustRightInd/>
        <w:snapToGrid/>
        <w:spacing w:line="360" w:lineRule="auto"/>
        <w:ind w:firstLine="3393" w:firstLineChars="1414"/>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法定代表人：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lang w:eastAsia="zh-CN"/>
        </w:rPr>
        <w:t>签字或盖章</w:t>
      </w:r>
      <w:r>
        <w:rPr>
          <w:rFonts w:hint="eastAsia" w:ascii="仿宋" w:hAnsi="仿宋" w:eastAsia="仿宋" w:cs="仿宋"/>
          <w:color w:val="auto"/>
          <w:kern w:val="0"/>
          <w:sz w:val="24"/>
          <w:szCs w:val="24"/>
          <w:highlight w:val="none"/>
        </w:rPr>
        <w:t>)</w:t>
      </w:r>
    </w:p>
    <w:p w14:paraId="51862638">
      <w:pPr>
        <w:keepNext w:val="0"/>
        <w:keepLines w:val="0"/>
        <w:pageBreakBefore w:val="0"/>
        <w:widowControl/>
        <w:tabs>
          <w:tab w:val="left" w:pos="4000"/>
        </w:tabs>
        <w:kinsoku/>
        <w:wordWrap/>
        <w:overflowPunct/>
        <w:topLinePunct w:val="0"/>
        <w:autoSpaceDE/>
        <w:autoSpaceDN/>
        <w:bidi w:val="0"/>
        <w:adjustRightInd/>
        <w:snapToGrid/>
        <w:spacing w:line="360" w:lineRule="auto"/>
        <w:ind w:firstLine="3393" w:firstLineChars="1414"/>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日　期：</w:t>
      </w:r>
      <w:r>
        <w:rPr>
          <w:rFonts w:hint="eastAsia" w:ascii="仿宋" w:hAnsi="仿宋" w:eastAsia="仿宋" w:cs="仿宋"/>
          <w:color w:val="auto"/>
          <w:kern w:val="0"/>
          <w:sz w:val="24"/>
          <w:szCs w:val="24"/>
          <w:highlight w:val="none"/>
          <w:u w:val="single"/>
        </w:rPr>
        <w:t xml:space="preserve">                   </w:t>
      </w:r>
    </w:p>
    <w:p w14:paraId="033B7F8E">
      <w:pPr>
        <w:keepNext w:val="0"/>
        <w:keepLines w:val="0"/>
        <w:pageBreakBefore w:val="0"/>
        <w:kinsoku/>
        <w:wordWrap/>
        <w:overflowPunct/>
        <w:topLinePunct w:val="0"/>
        <w:autoSpaceDE/>
        <w:autoSpaceDN/>
        <w:bidi w:val="0"/>
        <w:adjustRightInd/>
        <w:spacing w:line="360" w:lineRule="auto"/>
        <w:textAlignment w:val="auto"/>
        <w:rPr>
          <w:rFonts w:hint="eastAsia" w:ascii="仿宋" w:hAnsi="仿宋" w:eastAsia="仿宋" w:cs="仿宋"/>
          <w:color w:val="auto"/>
          <w:kern w:val="0"/>
          <w:sz w:val="24"/>
          <w:szCs w:val="24"/>
          <w:highlight w:val="none"/>
        </w:rPr>
      </w:pPr>
    </w:p>
    <w:p w14:paraId="793BD24A">
      <w:pPr>
        <w:keepNext w:val="0"/>
        <w:keepLines w:val="0"/>
        <w:pageBreakBefore w:val="0"/>
        <w:kinsoku/>
        <w:wordWrap/>
        <w:overflowPunct/>
        <w:topLinePunct w:val="0"/>
        <w:autoSpaceDE/>
        <w:autoSpaceDN/>
        <w:bidi w:val="0"/>
        <w:adjustRightIn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附法定代表人第二代身份证正反面复印件。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5"/>
        <w:gridCol w:w="4615"/>
      </w:tblGrid>
      <w:tr w14:paraId="4581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4615" w:type="dxa"/>
            <w:noWrap w:val="0"/>
            <w:vAlign w:val="top"/>
          </w:tcPr>
          <w:p w14:paraId="2285637B">
            <w:pPr>
              <w:spacing w:line="360" w:lineRule="auto"/>
              <w:rPr>
                <w:rFonts w:hint="eastAsia" w:ascii="仿宋" w:hAnsi="仿宋" w:eastAsia="仿宋" w:cs="仿宋"/>
                <w:color w:val="auto"/>
                <w:sz w:val="24"/>
                <w:szCs w:val="24"/>
                <w:highlight w:val="none"/>
              </w:rPr>
            </w:pPr>
          </w:p>
        </w:tc>
        <w:tc>
          <w:tcPr>
            <w:tcW w:w="4615" w:type="dxa"/>
            <w:noWrap w:val="0"/>
            <w:vAlign w:val="top"/>
          </w:tcPr>
          <w:p w14:paraId="2ACBD658">
            <w:pPr>
              <w:spacing w:line="360" w:lineRule="auto"/>
              <w:rPr>
                <w:rFonts w:hint="eastAsia" w:ascii="仿宋" w:hAnsi="仿宋" w:eastAsia="仿宋" w:cs="仿宋"/>
                <w:color w:val="auto"/>
                <w:sz w:val="24"/>
                <w:szCs w:val="24"/>
                <w:highlight w:val="none"/>
              </w:rPr>
            </w:pPr>
          </w:p>
        </w:tc>
      </w:tr>
    </w:tbl>
    <w:p w14:paraId="7C4EFD1C">
      <w:pPr>
        <w:widowControl/>
        <w:tabs>
          <w:tab w:val="left" w:pos="567"/>
        </w:tabs>
        <w:snapToGrid w:val="0"/>
        <w:spacing w:line="360" w:lineRule="auto"/>
        <w:jc w:val="lef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rPr>
        <w:t>3．法定代表人（负责人）授权委托书</w:t>
      </w:r>
    </w:p>
    <w:p w14:paraId="29D35519">
      <w:pPr>
        <w:widowControl/>
        <w:snapToGrid w:val="0"/>
        <w:spacing w:line="360" w:lineRule="auto"/>
        <w:ind w:left="562" w:hanging="482" w:hangingChars="20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法定代表人（负责人）授权委托书</w:t>
      </w:r>
    </w:p>
    <w:p w14:paraId="396EA15E">
      <w:pPr>
        <w:widowControl/>
        <w:snapToGrid w:val="0"/>
        <w:spacing w:line="360" w:lineRule="auto"/>
        <w:jc w:val="left"/>
        <w:rPr>
          <w:rFonts w:hint="eastAsia" w:ascii="仿宋" w:hAnsi="仿宋" w:eastAsia="仿宋" w:cs="仿宋"/>
          <w:color w:val="auto"/>
          <w:kern w:val="0"/>
          <w:sz w:val="24"/>
          <w:szCs w:val="24"/>
          <w:highlight w:val="none"/>
        </w:rPr>
      </w:pPr>
    </w:p>
    <w:p w14:paraId="5121EC51">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u w:val="single"/>
          <w:lang w:val="en-US" w:eastAsia="zh-CN"/>
        </w:rPr>
        <w:t>采购人名称、</w:t>
      </w:r>
      <w:r>
        <w:rPr>
          <w:rFonts w:hint="eastAsia" w:ascii="仿宋" w:hAnsi="仿宋" w:eastAsia="仿宋" w:cs="仿宋"/>
          <w:color w:val="auto"/>
          <w:kern w:val="0"/>
          <w:sz w:val="24"/>
          <w:szCs w:val="24"/>
          <w:highlight w:val="none"/>
          <w:u w:val="single"/>
          <w:lang w:eastAsia="zh-CN"/>
        </w:rPr>
        <w:t>采购</w:t>
      </w:r>
      <w:r>
        <w:rPr>
          <w:rFonts w:hint="eastAsia" w:ascii="仿宋" w:hAnsi="仿宋" w:eastAsia="仿宋" w:cs="仿宋"/>
          <w:color w:val="auto"/>
          <w:kern w:val="0"/>
          <w:sz w:val="24"/>
          <w:szCs w:val="24"/>
          <w:highlight w:val="none"/>
          <w:u w:val="single"/>
        </w:rPr>
        <w:t>代理公司名称</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kern w:val="0"/>
          <w:sz w:val="24"/>
          <w:szCs w:val="24"/>
          <w:highlight w:val="none"/>
        </w:rPr>
        <w:t>：</w:t>
      </w:r>
    </w:p>
    <w:p w14:paraId="5369BA83">
      <w:pPr>
        <w:widowControl/>
        <w:snapToGrid w:val="0"/>
        <w:spacing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本授权书声明：注册于</w:t>
      </w:r>
      <w:r>
        <w:rPr>
          <w:rFonts w:hint="eastAsia" w:ascii="仿宋" w:hAnsi="仿宋" w:eastAsia="仿宋" w:cs="仿宋"/>
          <w:color w:val="auto"/>
          <w:kern w:val="0"/>
          <w:sz w:val="24"/>
          <w:szCs w:val="24"/>
          <w:highlight w:val="none"/>
          <w:u w:val="single"/>
        </w:rPr>
        <w:t xml:space="preserve">             （供应商住址）</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u w:val="single"/>
        </w:rPr>
        <w:t xml:space="preserve">               （供应商名称）</w:t>
      </w:r>
      <w:r>
        <w:rPr>
          <w:rFonts w:hint="eastAsia" w:ascii="仿宋" w:hAnsi="仿宋" w:eastAsia="仿宋" w:cs="仿宋"/>
          <w:color w:val="auto"/>
          <w:kern w:val="0"/>
          <w:sz w:val="24"/>
          <w:szCs w:val="24"/>
          <w:highlight w:val="none"/>
        </w:rPr>
        <w:t>法定代表人</w:t>
      </w:r>
      <w:r>
        <w:rPr>
          <w:rFonts w:hint="eastAsia" w:ascii="仿宋" w:hAnsi="仿宋" w:eastAsia="仿宋" w:cs="仿宋"/>
          <w:color w:val="auto"/>
          <w:kern w:val="0"/>
          <w:sz w:val="24"/>
          <w:szCs w:val="24"/>
          <w:highlight w:val="none"/>
          <w:u w:val="single"/>
        </w:rPr>
        <w:t xml:space="preserve">        （法定代表人姓名、职务）</w:t>
      </w:r>
      <w:r>
        <w:rPr>
          <w:rFonts w:hint="eastAsia" w:ascii="仿宋" w:hAnsi="仿宋" w:eastAsia="仿宋" w:cs="仿宋"/>
          <w:color w:val="auto"/>
          <w:kern w:val="0"/>
          <w:sz w:val="24"/>
          <w:szCs w:val="24"/>
          <w:highlight w:val="none"/>
        </w:rPr>
        <w:t>代表本公司授权在下面签字的</w:t>
      </w:r>
      <w:r>
        <w:rPr>
          <w:rFonts w:hint="eastAsia" w:ascii="仿宋" w:hAnsi="仿宋" w:eastAsia="仿宋" w:cs="仿宋"/>
          <w:color w:val="auto"/>
          <w:kern w:val="0"/>
          <w:sz w:val="24"/>
          <w:szCs w:val="24"/>
          <w:highlight w:val="none"/>
          <w:u w:val="single"/>
        </w:rPr>
        <w:t xml:space="preserve">     （被授权人姓名、职务）</w:t>
      </w:r>
      <w:r>
        <w:rPr>
          <w:rFonts w:hint="eastAsia" w:ascii="仿宋" w:hAnsi="仿宋" w:eastAsia="仿宋" w:cs="仿宋"/>
          <w:color w:val="auto"/>
          <w:kern w:val="0"/>
          <w:sz w:val="24"/>
          <w:szCs w:val="24"/>
          <w:highlight w:val="none"/>
        </w:rPr>
        <w:t>为本公司的合法代理人，就贵方组织的</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项目，项目编号：</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none"/>
          <w:lang w:val="en-US" w:eastAsia="zh-CN"/>
        </w:rPr>
        <w:t>采购编号：</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以本公司名义处理一切与之有关的事务。</w:t>
      </w:r>
    </w:p>
    <w:p w14:paraId="51A9A5EC">
      <w:pPr>
        <w:widowControl/>
        <w:snapToGrid w:val="0"/>
        <w:spacing w:line="360" w:lineRule="auto"/>
        <w:ind w:firstLine="480"/>
        <w:jc w:val="left"/>
        <w:rPr>
          <w:rFonts w:hint="eastAsia" w:ascii="仿宋" w:hAnsi="仿宋" w:eastAsia="仿宋" w:cs="仿宋"/>
          <w:color w:val="auto"/>
          <w:kern w:val="0"/>
          <w:sz w:val="24"/>
          <w:szCs w:val="24"/>
          <w:highlight w:val="none"/>
        </w:rPr>
      </w:pPr>
    </w:p>
    <w:p w14:paraId="22778469">
      <w:pPr>
        <w:widowControl/>
        <w:snapToGrid w:val="0"/>
        <w:spacing w:line="360" w:lineRule="auto"/>
        <w:ind w:firstLine="48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本授权书于</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年</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月</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日起签字生效。</w:t>
      </w:r>
    </w:p>
    <w:p w14:paraId="00BF1520">
      <w:pPr>
        <w:widowControl/>
        <w:snapToGrid w:val="0"/>
        <w:spacing w:line="360" w:lineRule="auto"/>
        <w:ind w:firstLine="48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特此声明</w:t>
      </w:r>
    </w:p>
    <w:p w14:paraId="45114275">
      <w:pPr>
        <w:widowControl/>
        <w:snapToGrid w:val="0"/>
        <w:spacing w:line="480" w:lineRule="auto"/>
        <w:ind w:left="0" w:leftChars="0" w:firstLine="3360" w:firstLineChars="14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（盖章）</w:t>
      </w:r>
    </w:p>
    <w:p w14:paraId="304B9FCB">
      <w:pPr>
        <w:widowControl/>
        <w:snapToGrid w:val="0"/>
        <w:spacing w:line="480" w:lineRule="auto"/>
        <w:ind w:left="0" w:leftChars="0" w:firstLine="3360" w:firstLineChars="14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法定代表人：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（签字）</w:t>
      </w:r>
    </w:p>
    <w:p w14:paraId="0045248A">
      <w:pPr>
        <w:widowControl/>
        <w:snapToGrid w:val="0"/>
        <w:spacing w:line="480" w:lineRule="auto"/>
        <w:ind w:left="0" w:leftChars="0" w:firstLine="3360" w:firstLineChars="14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被授权人代表：</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（签字）</w:t>
      </w:r>
    </w:p>
    <w:p w14:paraId="640B6557">
      <w:pPr>
        <w:widowControl/>
        <w:tabs>
          <w:tab w:val="left" w:pos="730"/>
        </w:tabs>
        <w:snapToGrid w:val="0"/>
        <w:spacing w:line="360" w:lineRule="auto"/>
        <w:rPr>
          <w:rFonts w:hint="eastAsia" w:ascii="仿宋" w:hAnsi="仿宋" w:eastAsia="仿宋" w:cs="仿宋"/>
          <w:color w:val="auto"/>
          <w:kern w:val="0"/>
          <w:sz w:val="24"/>
          <w:szCs w:val="24"/>
          <w:highlight w:val="none"/>
        </w:rPr>
      </w:pPr>
    </w:p>
    <w:p w14:paraId="3DA44289">
      <w:pPr>
        <w:widowControl/>
        <w:tabs>
          <w:tab w:val="left" w:pos="730"/>
        </w:tabs>
        <w:snapToGrid w:val="0"/>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附被授权人第二代身份证正反面复印件。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5"/>
        <w:gridCol w:w="4615"/>
      </w:tblGrid>
      <w:tr w14:paraId="7353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trPr>
        <w:tc>
          <w:tcPr>
            <w:tcW w:w="4615" w:type="dxa"/>
            <w:noWrap w:val="0"/>
            <w:vAlign w:val="top"/>
          </w:tcPr>
          <w:p w14:paraId="4306FB32">
            <w:pPr>
              <w:spacing w:line="360" w:lineRule="auto"/>
              <w:rPr>
                <w:rFonts w:hint="eastAsia" w:ascii="仿宋" w:hAnsi="仿宋" w:eastAsia="仿宋" w:cs="仿宋"/>
                <w:color w:val="auto"/>
                <w:sz w:val="24"/>
                <w:szCs w:val="24"/>
                <w:highlight w:val="none"/>
              </w:rPr>
            </w:pPr>
          </w:p>
        </w:tc>
        <w:tc>
          <w:tcPr>
            <w:tcW w:w="4615" w:type="dxa"/>
            <w:noWrap w:val="0"/>
            <w:vAlign w:val="top"/>
          </w:tcPr>
          <w:p w14:paraId="2540B6FD">
            <w:pPr>
              <w:spacing w:line="360" w:lineRule="auto"/>
              <w:rPr>
                <w:rFonts w:hint="eastAsia" w:ascii="仿宋" w:hAnsi="仿宋" w:eastAsia="仿宋" w:cs="仿宋"/>
                <w:color w:val="auto"/>
                <w:sz w:val="24"/>
                <w:szCs w:val="24"/>
                <w:highlight w:val="none"/>
              </w:rPr>
            </w:pPr>
          </w:p>
        </w:tc>
      </w:tr>
    </w:tbl>
    <w:p w14:paraId="5947CA49">
      <w:pPr>
        <w:widowControl/>
        <w:snapToGrid w:val="0"/>
        <w:spacing w:line="360" w:lineRule="auto"/>
        <w:jc w:val="left"/>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注：</w:t>
      </w:r>
    </w:p>
    <w:p w14:paraId="48802F9C">
      <w:pPr>
        <w:widowControl/>
        <w:snapToGrid w:val="0"/>
        <w:spacing w:line="360" w:lineRule="auto"/>
        <w:ind w:firstLine="482" w:firstLineChars="200"/>
        <w:jc w:val="left"/>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1.除可填报项目外，对本法定代表人授权委托书的任何修改将被视为未实质性响应报价，从而导致该投标被拒绝；</w:t>
      </w:r>
    </w:p>
    <w:p w14:paraId="4B042A0C">
      <w:pPr>
        <w:widowControl/>
        <w:tabs>
          <w:tab w:val="left" w:pos="567"/>
        </w:tabs>
        <w:snapToGrid w:val="0"/>
        <w:spacing w:line="360" w:lineRule="auto"/>
        <w:ind w:firstLine="482" w:firstLineChars="200"/>
        <w:jc w:val="left"/>
        <w:rPr>
          <w:rFonts w:hint="eastAsia" w:ascii="仿宋" w:hAnsi="仿宋" w:eastAsia="仿宋" w:cs="仿宋"/>
          <w:b/>
          <w:bCs/>
          <w:color w:val="auto"/>
          <w:kern w:val="0"/>
          <w:sz w:val="24"/>
          <w:szCs w:val="24"/>
          <w:highlight w:val="none"/>
        </w:rPr>
      </w:pPr>
      <w:r>
        <w:rPr>
          <w:rFonts w:hint="eastAsia" w:ascii="仿宋" w:hAnsi="仿宋" w:eastAsia="仿宋" w:cs="仿宋"/>
          <w:b/>
          <w:color w:val="auto"/>
          <w:kern w:val="0"/>
          <w:sz w:val="24"/>
          <w:szCs w:val="24"/>
          <w:highlight w:val="none"/>
        </w:rPr>
        <w:t>2.若供应商授权代表为法定代表人（负责人）的可不提供。</w:t>
      </w:r>
    </w:p>
    <w:p w14:paraId="438256CC">
      <w:pPr>
        <w:widowControl/>
        <w:tabs>
          <w:tab w:val="left" w:pos="567"/>
        </w:tabs>
        <w:snapToGrid w:val="0"/>
        <w:spacing w:line="360" w:lineRule="auto"/>
        <w:jc w:val="lef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rPr>
        <w:t>4．报价一览表格式</w:t>
      </w:r>
    </w:p>
    <w:p w14:paraId="3DAAE377">
      <w:pPr>
        <w:keepNext w:val="0"/>
        <w:keepLines w:val="0"/>
        <w:pageBreakBefore w:val="0"/>
        <w:kinsoku/>
        <w:wordWrap/>
        <w:overflowPunct/>
        <w:topLinePunct w:val="0"/>
        <w:autoSpaceDE/>
        <w:autoSpaceDN/>
        <w:bidi w:val="0"/>
        <w:adjustRightInd/>
        <w:spacing w:line="480" w:lineRule="auto"/>
        <w:ind w:right="26"/>
        <w:jc w:val="center"/>
        <w:textAlignment w:val="auto"/>
        <w:outlineLvl w:val="9"/>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报价一览表</w:t>
      </w:r>
    </w:p>
    <w:p w14:paraId="06A17313">
      <w:pPr>
        <w:keepNext w:val="0"/>
        <w:keepLines w:val="0"/>
        <w:pageBreakBefore w:val="0"/>
        <w:widowControl/>
        <w:kinsoku/>
        <w:wordWrap/>
        <w:overflowPunct/>
        <w:topLinePunct w:val="0"/>
        <w:autoSpaceDE/>
        <w:autoSpaceDN/>
        <w:bidi w:val="0"/>
        <w:adjustRightInd/>
        <w:snapToGrid w:val="0"/>
        <w:spacing w:line="480" w:lineRule="auto"/>
        <w:jc w:val="left"/>
        <w:textAlignment w:val="auto"/>
        <w:rPr>
          <w:rFonts w:hint="eastAsia" w:ascii="仿宋" w:hAnsi="仿宋" w:eastAsia="仿宋" w:cs="仿宋"/>
          <w:color w:val="auto"/>
          <w:kern w:val="0"/>
          <w:sz w:val="24"/>
          <w:highlight w:val="none"/>
        </w:rPr>
      </w:pPr>
    </w:p>
    <w:p w14:paraId="77896AFD">
      <w:pPr>
        <w:keepNext w:val="0"/>
        <w:keepLines w:val="0"/>
        <w:pageBreakBefore w:val="0"/>
        <w:widowControl/>
        <w:kinsoku/>
        <w:wordWrap/>
        <w:overflowPunct/>
        <w:topLinePunct w:val="0"/>
        <w:autoSpaceDE/>
        <w:autoSpaceDN/>
        <w:bidi w:val="0"/>
        <w:adjustRightInd/>
        <w:snapToGrid w:val="0"/>
        <w:spacing w:line="480" w:lineRule="auto"/>
        <w:ind w:firstLine="240" w:firstLineChars="100"/>
        <w:jc w:val="left"/>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rPr>
        <w:t>项目名称</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szCs w:val="24"/>
          <w:highlight w:val="none"/>
          <w:u w:val="single"/>
        </w:rPr>
        <w:t xml:space="preserve">                    </w:t>
      </w:r>
    </w:p>
    <w:p w14:paraId="59173ECA">
      <w:pPr>
        <w:keepNext w:val="0"/>
        <w:keepLines w:val="0"/>
        <w:pageBreakBefore w:val="0"/>
        <w:widowControl/>
        <w:kinsoku/>
        <w:wordWrap/>
        <w:overflowPunct/>
        <w:topLinePunct w:val="0"/>
        <w:autoSpaceDE/>
        <w:autoSpaceDN/>
        <w:bidi w:val="0"/>
        <w:adjustRightInd/>
        <w:snapToGrid w:val="0"/>
        <w:spacing w:line="480" w:lineRule="auto"/>
        <w:ind w:firstLine="240" w:firstLineChars="100"/>
        <w:jc w:val="left"/>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rPr>
        <w:t>项目编号</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szCs w:val="24"/>
          <w:highlight w:val="none"/>
          <w:u w:val="single"/>
        </w:rPr>
        <w:t xml:space="preserve">                    </w:t>
      </w:r>
    </w:p>
    <w:p w14:paraId="671D8D7F">
      <w:pPr>
        <w:keepNext w:val="0"/>
        <w:keepLines w:val="0"/>
        <w:pageBreakBefore w:val="0"/>
        <w:widowControl/>
        <w:kinsoku/>
        <w:wordWrap/>
        <w:overflowPunct/>
        <w:topLinePunct w:val="0"/>
        <w:autoSpaceDE/>
        <w:autoSpaceDN/>
        <w:bidi w:val="0"/>
        <w:adjustRightInd/>
        <w:snapToGrid w:val="0"/>
        <w:spacing w:line="480" w:lineRule="auto"/>
        <w:ind w:firstLine="240" w:firstLineChars="1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highlight w:val="none"/>
          <w:lang w:eastAsia="zh-CN"/>
        </w:rPr>
        <w:t>采购编号</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szCs w:val="24"/>
          <w:highlight w:val="none"/>
          <w:u w:val="single"/>
        </w:rPr>
        <w:t xml:space="preserve">                    </w:t>
      </w:r>
    </w:p>
    <w:p w14:paraId="0262C800">
      <w:pPr>
        <w:pStyle w:val="8"/>
        <w:wordWrap w:val="0"/>
        <w:jc w:val="right"/>
        <w:rPr>
          <w:rFonts w:hint="default" w:eastAsia="仿宋"/>
          <w:color w:val="auto"/>
          <w:highlight w:val="none"/>
          <w:u w:val="none"/>
          <w:lang w:val="en-US" w:eastAsia="zh-CN"/>
        </w:rPr>
      </w:pPr>
      <w:r>
        <w:rPr>
          <w:rFonts w:hint="eastAsia" w:ascii="仿宋" w:hAnsi="仿宋" w:eastAsia="仿宋" w:cs="仿宋"/>
          <w:color w:val="auto"/>
          <w:kern w:val="0"/>
          <w:sz w:val="24"/>
          <w:szCs w:val="24"/>
          <w:highlight w:val="none"/>
          <w:u w:val="none"/>
          <w:lang w:eastAsia="zh-CN"/>
        </w:rPr>
        <w:t>单位：元</w:t>
      </w:r>
      <w:r>
        <w:rPr>
          <w:rFonts w:hint="eastAsia" w:ascii="仿宋" w:hAnsi="仿宋" w:eastAsia="仿宋" w:cs="仿宋"/>
          <w:color w:val="auto"/>
          <w:kern w:val="0"/>
          <w:sz w:val="24"/>
          <w:szCs w:val="24"/>
          <w:highlight w:val="none"/>
          <w:u w:val="none"/>
          <w:lang w:val="en-US" w:eastAsia="zh-CN"/>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8"/>
        <w:gridCol w:w="6005"/>
      </w:tblGrid>
      <w:tr w14:paraId="6EFA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798" w:type="dxa"/>
            <w:noWrap w:val="0"/>
            <w:vAlign w:val="center"/>
          </w:tcPr>
          <w:p w14:paraId="071EEC03">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总报价</w:t>
            </w:r>
          </w:p>
        </w:tc>
        <w:tc>
          <w:tcPr>
            <w:tcW w:w="6005" w:type="dxa"/>
            <w:noWrap w:val="0"/>
            <w:vAlign w:val="center"/>
          </w:tcPr>
          <w:p w14:paraId="0BB9767B">
            <w:pPr>
              <w:keepNext w:val="0"/>
              <w:keepLines w:val="0"/>
              <w:pageBreakBefore w:val="0"/>
              <w:widowControl/>
              <w:kinsoku/>
              <w:wordWrap/>
              <w:overflowPunct/>
              <w:topLinePunct w:val="0"/>
              <w:autoSpaceDE/>
              <w:autoSpaceDN/>
              <w:bidi w:val="0"/>
              <w:adjustRightInd/>
              <w:spacing w:line="480" w:lineRule="auto"/>
              <w:textAlignment w:val="auto"/>
              <w:outlineLvl w:val="9"/>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大写：</w:t>
            </w:r>
          </w:p>
          <w:p w14:paraId="55BF96EB">
            <w:pPr>
              <w:keepNext w:val="0"/>
              <w:keepLines w:val="0"/>
              <w:pageBreakBefore w:val="0"/>
              <w:widowControl/>
              <w:kinsoku/>
              <w:wordWrap/>
              <w:overflowPunct/>
              <w:topLinePunct w:val="0"/>
              <w:autoSpaceDE/>
              <w:autoSpaceDN/>
              <w:bidi w:val="0"/>
              <w:adjustRightInd/>
              <w:spacing w:line="480" w:lineRule="auto"/>
              <w:textAlignment w:val="auto"/>
              <w:outlineLvl w:val="9"/>
              <w:rPr>
                <w:rFonts w:hint="eastAsia" w:ascii="仿宋" w:hAnsi="仿宋" w:eastAsia="仿宋" w:cs="仿宋"/>
                <w:bCs/>
                <w:color w:val="auto"/>
                <w:spacing w:val="20"/>
                <w:sz w:val="24"/>
                <w:highlight w:val="none"/>
                <w:u w:val="single"/>
              </w:rPr>
            </w:pPr>
            <w:r>
              <w:rPr>
                <w:rFonts w:hint="eastAsia" w:ascii="仿宋" w:hAnsi="仿宋" w:eastAsia="仿宋" w:cs="仿宋"/>
                <w:color w:val="auto"/>
                <w:spacing w:val="20"/>
                <w:sz w:val="24"/>
                <w:highlight w:val="none"/>
              </w:rPr>
              <w:t>小写：</w:t>
            </w:r>
            <w:r>
              <w:rPr>
                <w:rFonts w:hint="eastAsia" w:ascii="仿宋" w:hAnsi="仿宋" w:eastAsia="仿宋" w:cs="仿宋"/>
                <w:color w:val="auto"/>
                <w:spacing w:val="20"/>
                <w:sz w:val="24"/>
                <w:highlight w:val="none"/>
                <w:u w:val="single"/>
              </w:rPr>
              <w:t xml:space="preserve">        </w:t>
            </w:r>
            <w:r>
              <w:rPr>
                <w:rFonts w:hint="eastAsia" w:ascii="仿宋" w:hAnsi="仿宋" w:eastAsia="仿宋" w:cs="仿宋"/>
                <w:color w:val="auto"/>
                <w:spacing w:val="20"/>
                <w:sz w:val="24"/>
                <w:highlight w:val="none"/>
              </w:rPr>
              <w:t>元</w:t>
            </w:r>
          </w:p>
        </w:tc>
      </w:tr>
      <w:tr w14:paraId="11D2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798" w:type="dxa"/>
            <w:noWrap w:val="0"/>
            <w:vAlign w:val="center"/>
          </w:tcPr>
          <w:p w14:paraId="4CD8F7F9">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color w:val="auto"/>
                <w:spacing w:val="20"/>
                <w:sz w:val="24"/>
                <w:highlight w:val="none"/>
                <w:lang w:eastAsia="zh-CN"/>
              </w:rPr>
            </w:pPr>
            <w:r>
              <w:rPr>
                <w:rFonts w:hint="eastAsia" w:ascii="仿宋" w:hAnsi="仿宋" w:eastAsia="仿宋" w:cs="仿宋"/>
                <w:color w:val="auto"/>
                <w:sz w:val="24"/>
                <w:highlight w:val="none"/>
                <w:lang w:eastAsia="zh-CN"/>
              </w:rPr>
              <w:t>合同履行期限</w:t>
            </w:r>
          </w:p>
        </w:tc>
        <w:tc>
          <w:tcPr>
            <w:tcW w:w="6005" w:type="dxa"/>
            <w:noWrap w:val="0"/>
            <w:vAlign w:val="center"/>
          </w:tcPr>
          <w:p w14:paraId="452C511D">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bCs/>
                <w:color w:val="auto"/>
                <w:spacing w:val="20"/>
                <w:sz w:val="24"/>
                <w:highlight w:val="none"/>
                <w:u w:val="single"/>
              </w:rPr>
            </w:pPr>
          </w:p>
        </w:tc>
      </w:tr>
      <w:tr w14:paraId="62DD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798" w:type="dxa"/>
            <w:noWrap w:val="0"/>
            <w:vAlign w:val="center"/>
          </w:tcPr>
          <w:p w14:paraId="33C8EFF6">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交货地点</w:t>
            </w:r>
          </w:p>
        </w:tc>
        <w:tc>
          <w:tcPr>
            <w:tcW w:w="6005" w:type="dxa"/>
            <w:noWrap w:val="0"/>
            <w:vAlign w:val="center"/>
          </w:tcPr>
          <w:p w14:paraId="55F60A0A">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bCs/>
                <w:color w:val="auto"/>
                <w:spacing w:val="20"/>
                <w:sz w:val="24"/>
                <w:highlight w:val="none"/>
                <w:u w:val="single"/>
              </w:rPr>
            </w:pPr>
          </w:p>
        </w:tc>
      </w:tr>
      <w:tr w14:paraId="5C54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798" w:type="dxa"/>
            <w:noWrap w:val="0"/>
            <w:vAlign w:val="center"/>
          </w:tcPr>
          <w:p w14:paraId="343D7443">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质保期</w:t>
            </w:r>
          </w:p>
        </w:tc>
        <w:tc>
          <w:tcPr>
            <w:tcW w:w="6005" w:type="dxa"/>
            <w:noWrap w:val="0"/>
            <w:vAlign w:val="center"/>
          </w:tcPr>
          <w:p w14:paraId="5E154B66">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bCs/>
                <w:color w:val="auto"/>
                <w:spacing w:val="20"/>
                <w:sz w:val="24"/>
                <w:highlight w:val="none"/>
                <w:u w:val="single"/>
              </w:rPr>
            </w:pPr>
          </w:p>
        </w:tc>
      </w:tr>
      <w:tr w14:paraId="1648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798" w:type="dxa"/>
            <w:noWrap w:val="0"/>
            <w:vAlign w:val="center"/>
          </w:tcPr>
          <w:p w14:paraId="5DF8D222">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备   注</w:t>
            </w:r>
          </w:p>
        </w:tc>
        <w:tc>
          <w:tcPr>
            <w:tcW w:w="6005" w:type="dxa"/>
            <w:noWrap w:val="0"/>
            <w:vAlign w:val="center"/>
          </w:tcPr>
          <w:p w14:paraId="0645BEDB">
            <w:pPr>
              <w:keepNext w:val="0"/>
              <w:keepLines w:val="0"/>
              <w:pageBreakBefore w:val="0"/>
              <w:widowControl/>
              <w:kinsoku/>
              <w:wordWrap/>
              <w:overflowPunct/>
              <w:topLinePunct w:val="0"/>
              <w:autoSpaceDE/>
              <w:autoSpaceDN/>
              <w:bidi w:val="0"/>
              <w:adjustRightInd/>
              <w:spacing w:line="480" w:lineRule="auto"/>
              <w:jc w:val="center"/>
              <w:textAlignment w:val="auto"/>
              <w:outlineLvl w:val="9"/>
              <w:rPr>
                <w:rFonts w:hint="eastAsia" w:ascii="仿宋" w:hAnsi="仿宋" w:eastAsia="仿宋" w:cs="仿宋"/>
                <w:bCs/>
                <w:color w:val="auto"/>
                <w:spacing w:val="20"/>
                <w:sz w:val="24"/>
                <w:highlight w:val="none"/>
                <w:u w:val="single"/>
              </w:rPr>
            </w:pPr>
          </w:p>
        </w:tc>
      </w:tr>
    </w:tbl>
    <w:p w14:paraId="3242A2AB">
      <w:pPr>
        <w:keepNext w:val="0"/>
        <w:keepLines w:val="0"/>
        <w:pageBreakBefore w:val="0"/>
        <w:widowControl/>
        <w:kinsoku/>
        <w:wordWrap/>
        <w:overflowPunct/>
        <w:topLinePunct w:val="0"/>
        <w:autoSpaceDE/>
        <w:autoSpaceDN/>
        <w:bidi w:val="0"/>
        <w:adjustRightInd/>
        <w:spacing w:line="480" w:lineRule="auto"/>
        <w:ind w:firstLine="560" w:firstLineChars="200"/>
        <w:jc w:val="left"/>
        <w:textAlignment w:val="auto"/>
        <w:outlineLvl w:val="9"/>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注:（1）报价应包括</w:t>
      </w:r>
      <w:r>
        <w:rPr>
          <w:rFonts w:hint="eastAsia" w:ascii="仿宋" w:hAnsi="仿宋" w:eastAsia="仿宋" w:cs="仿宋"/>
          <w:color w:val="auto"/>
          <w:spacing w:val="20"/>
          <w:sz w:val="24"/>
          <w:highlight w:val="none"/>
          <w:lang w:val="en-US" w:eastAsia="zh-CN"/>
        </w:rPr>
        <w:t>竞争性谈判</w:t>
      </w:r>
      <w:r>
        <w:rPr>
          <w:rFonts w:hint="eastAsia" w:ascii="仿宋" w:hAnsi="仿宋" w:eastAsia="仿宋" w:cs="仿宋"/>
          <w:color w:val="auto"/>
          <w:spacing w:val="20"/>
          <w:sz w:val="24"/>
          <w:highlight w:val="none"/>
        </w:rPr>
        <w:t>文件所规定的</w:t>
      </w:r>
      <w:r>
        <w:rPr>
          <w:rFonts w:hint="eastAsia" w:ascii="仿宋" w:hAnsi="仿宋" w:eastAsia="仿宋" w:cs="仿宋"/>
          <w:color w:val="auto"/>
          <w:spacing w:val="20"/>
          <w:sz w:val="24"/>
          <w:highlight w:val="none"/>
          <w:lang w:val="en-US" w:eastAsia="zh-CN"/>
        </w:rPr>
        <w:t>谈判</w:t>
      </w:r>
      <w:r>
        <w:rPr>
          <w:rFonts w:hint="eastAsia" w:ascii="仿宋" w:hAnsi="仿宋" w:eastAsia="仿宋" w:cs="仿宋"/>
          <w:color w:val="auto"/>
          <w:spacing w:val="20"/>
          <w:sz w:val="24"/>
          <w:highlight w:val="none"/>
        </w:rPr>
        <w:t>范围的全部内容；</w:t>
      </w:r>
    </w:p>
    <w:p w14:paraId="4EA6E4D5">
      <w:pPr>
        <w:keepNext w:val="0"/>
        <w:keepLines w:val="0"/>
        <w:pageBreakBefore w:val="0"/>
        <w:widowControl/>
        <w:kinsoku/>
        <w:wordWrap/>
        <w:overflowPunct/>
        <w:topLinePunct w:val="0"/>
        <w:autoSpaceDE/>
        <w:autoSpaceDN/>
        <w:bidi w:val="0"/>
        <w:adjustRightInd/>
        <w:spacing w:line="480" w:lineRule="auto"/>
        <w:ind w:firstLine="980" w:firstLineChars="350"/>
        <w:jc w:val="left"/>
        <w:textAlignment w:val="auto"/>
        <w:outlineLvl w:val="9"/>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（2）报价的内容可以根据</w:t>
      </w:r>
      <w:r>
        <w:rPr>
          <w:rFonts w:hint="eastAsia" w:ascii="仿宋" w:hAnsi="仿宋" w:eastAsia="仿宋" w:cs="仿宋"/>
          <w:color w:val="auto"/>
          <w:spacing w:val="20"/>
          <w:sz w:val="24"/>
          <w:highlight w:val="none"/>
          <w:lang w:eastAsia="zh-CN"/>
        </w:rPr>
        <w:t>供应商</w:t>
      </w:r>
      <w:r>
        <w:rPr>
          <w:rFonts w:hint="eastAsia" w:ascii="仿宋" w:hAnsi="仿宋" w:eastAsia="仿宋" w:cs="仿宋"/>
          <w:color w:val="auto"/>
          <w:spacing w:val="20"/>
          <w:sz w:val="24"/>
          <w:highlight w:val="none"/>
        </w:rPr>
        <w:t>实际情况增加但报价表格式不得自行改动；</w:t>
      </w:r>
    </w:p>
    <w:p w14:paraId="6CE89E93">
      <w:pPr>
        <w:keepNext w:val="0"/>
        <w:keepLines w:val="0"/>
        <w:pageBreakBefore w:val="0"/>
        <w:widowControl/>
        <w:kinsoku/>
        <w:wordWrap/>
        <w:overflowPunct/>
        <w:topLinePunct w:val="0"/>
        <w:autoSpaceDE/>
        <w:autoSpaceDN/>
        <w:bidi w:val="0"/>
        <w:adjustRightInd/>
        <w:spacing w:line="480" w:lineRule="auto"/>
        <w:ind w:firstLine="980" w:firstLineChars="350"/>
        <w:jc w:val="left"/>
        <w:textAlignment w:val="auto"/>
        <w:outlineLvl w:val="9"/>
        <w:rPr>
          <w:rFonts w:hint="eastAsia" w:ascii="仿宋" w:hAnsi="仿宋" w:eastAsia="仿宋" w:cs="仿宋"/>
          <w:color w:val="auto"/>
          <w:spacing w:val="20"/>
          <w:sz w:val="24"/>
          <w:highlight w:val="none"/>
        </w:rPr>
      </w:pPr>
      <w:r>
        <w:rPr>
          <w:rFonts w:hint="eastAsia" w:ascii="仿宋" w:hAnsi="仿宋" w:eastAsia="仿宋" w:cs="仿宋"/>
          <w:color w:val="auto"/>
          <w:spacing w:val="20"/>
          <w:sz w:val="24"/>
          <w:highlight w:val="none"/>
        </w:rPr>
        <w:t>（3）</w:t>
      </w:r>
      <w:r>
        <w:rPr>
          <w:rFonts w:hint="eastAsia" w:ascii="仿宋" w:hAnsi="仿宋" w:eastAsia="仿宋" w:cs="仿宋"/>
          <w:color w:val="auto"/>
          <w:sz w:val="24"/>
          <w:highlight w:val="none"/>
          <w:lang w:eastAsia="zh-CN"/>
        </w:rPr>
        <w:t>合同履行期限</w:t>
      </w:r>
      <w:r>
        <w:rPr>
          <w:rFonts w:hint="eastAsia" w:ascii="仿宋" w:hAnsi="仿宋" w:eastAsia="仿宋" w:cs="仿宋"/>
          <w:color w:val="auto"/>
          <w:spacing w:val="20"/>
          <w:sz w:val="24"/>
          <w:highlight w:val="none"/>
        </w:rPr>
        <w:t>应满</w:t>
      </w:r>
      <w:r>
        <w:rPr>
          <w:rFonts w:hint="eastAsia" w:ascii="仿宋" w:hAnsi="仿宋" w:eastAsia="仿宋" w:cs="仿宋"/>
          <w:color w:val="auto"/>
          <w:spacing w:val="20"/>
          <w:sz w:val="24"/>
          <w:highlight w:val="none"/>
          <w:lang w:val="en-US" w:eastAsia="zh-CN"/>
        </w:rPr>
        <w:t>足竞争性谈判</w:t>
      </w:r>
      <w:r>
        <w:rPr>
          <w:rFonts w:hint="eastAsia" w:ascii="仿宋" w:hAnsi="仿宋" w:eastAsia="仿宋" w:cs="仿宋"/>
          <w:color w:val="auto"/>
          <w:spacing w:val="20"/>
          <w:sz w:val="24"/>
          <w:highlight w:val="none"/>
        </w:rPr>
        <w:t>文件中</w:t>
      </w:r>
      <w:r>
        <w:rPr>
          <w:rFonts w:hint="eastAsia" w:ascii="仿宋" w:hAnsi="仿宋" w:eastAsia="仿宋" w:cs="仿宋"/>
          <w:color w:val="auto"/>
          <w:spacing w:val="20"/>
          <w:sz w:val="24"/>
          <w:highlight w:val="none"/>
          <w:lang w:val="en-US" w:eastAsia="zh-CN"/>
        </w:rPr>
        <w:t>的</w:t>
      </w:r>
      <w:r>
        <w:rPr>
          <w:rFonts w:hint="eastAsia" w:ascii="仿宋" w:hAnsi="仿宋" w:eastAsia="仿宋" w:cs="仿宋"/>
          <w:color w:val="auto"/>
          <w:spacing w:val="20"/>
          <w:sz w:val="24"/>
          <w:highlight w:val="none"/>
        </w:rPr>
        <w:t>相关要求。</w:t>
      </w:r>
    </w:p>
    <w:p w14:paraId="4ED9C102">
      <w:pPr>
        <w:keepNext w:val="0"/>
        <w:keepLines w:val="0"/>
        <w:pageBreakBefore w:val="0"/>
        <w:widowControl/>
        <w:kinsoku/>
        <w:wordWrap/>
        <w:overflowPunct/>
        <w:topLinePunct w:val="0"/>
        <w:autoSpaceDE/>
        <w:autoSpaceDN/>
        <w:bidi w:val="0"/>
        <w:adjustRightInd/>
        <w:spacing w:line="480" w:lineRule="auto"/>
        <w:jc w:val="left"/>
        <w:textAlignment w:val="auto"/>
        <w:outlineLvl w:val="9"/>
        <w:rPr>
          <w:rFonts w:hint="eastAsia" w:ascii="仿宋" w:hAnsi="仿宋" w:eastAsia="仿宋" w:cs="仿宋"/>
          <w:color w:val="auto"/>
          <w:spacing w:val="20"/>
          <w:sz w:val="24"/>
          <w:highlight w:val="none"/>
        </w:rPr>
      </w:pPr>
    </w:p>
    <w:p w14:paraId="1CB09B06">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szCs w:val="24"/>
          <w:highlight w:val="none"/>
        </w:rPr>
        <w:t>供应商名称：</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(盖章)</w:t>
      </w:r>
    </w:p>
    <w:p w14:paraId="2CC5B43E">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highlight w:val="none"/>
          <w:lang w:eastAsia="zh-CN"/>
        </w:rPr>
        <w:t>法定代表人或供应商授权代表</w:t>
      </w:r>
      <w:r>
        <w:rPr>
          <w:rFonts w:hint="eastAsia" w:ascii="仿宋" w:hAnsi="仿宋" w:eastAsia="仿宋" w:cs="仿宋"/>
          <w:color w:val="auto"/>
          <w:spacing w:val="0"/>
          <w:kern w:val="21"/>
          <w:sz w:val="24"/>
          <w:szCs w:val="24"/>
          <w:highlight w:val="none"/>
        </w:rPr>
        <w:t>：</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(签字或盖章)</w:t>
      </w:r>
    </w:p>
    <w:p w14:paraId="2352D96E">
      <w:pPr>
        <w:keepNext w:val="0"/>
        <w:keepLines w:val="0"/>
        <w:pageBreakBefore w:val="0"/>
        <w:widowControl/>
        <w:tabs>
          <w:tab w:val="left" w:pos="567"/>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highlight w:val="none"/>
        </w:rPr>
      </w:pPr>
      <w:r>
        <w:rPr>
          <w:rFonts w:hint="eastAsia" w:ascii="仿宋" w:hAnsi="仿宋" w:eastAsia="仿宋" w:cs="仿宋"/>
          <w:color w:val="auto"/>
          <w:spacing w:val="0"/>
          <w:kern w:val="21"/>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p>
    <w:p w14:paraId="1411DFC6">
      <w:pPr>
        <w:widowControl/>
        <w:snapToGrid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790C94BC">
      <w:pPr>
        <w:widowControl/>
        <w:snapToGrid w:val="0"/>
        <w:spacing w:line="360" w:lineRule="auto"/>
        <w:jc w:val="both"/>
        <w:rPr>
          <w:rFonts w:hint="eastAsia" w:ascii="仿宋" w:hAnsi="仿宋" w:eastAsia="仿宋" w:cs="仿宋"/>
          <w:color w:val="auto"/>
          <w:sz w:val="24"/>
          <w:highlight w:val="none"/>
        </w:rPr>
      </w:pPr>
      <w:r>
        <w:rPr>
          <w:rFonts w:hint="eastAsia" w:ascii="仿宋" w:hAnsi="仿宋" w:eastAsia="仿宋" w:cs="仿宋"/>
          <w:b/>
          <w:color w:val="auto"/>
          <w:kern w:val="0"/>
          <w:sz w:val="24"/>
          <w:szCs w:val="24"/>
          <w:highlight w:val="none"/>
          <w:lang w:val="en-US" w:eastAsia="zh-CN"/>
        </w:rPr>
        <w:t>5</w:t>
      </w:r>
      <w:r>
        <w:rPr>
          <w:rFonts w:hint="eastAsia" w:ascii="仿宋" w:hAnsi="仿宋" w:eastAsia="仿宋" w:cs="仿宋"/>
          <w:b/>
          <w:color w:val="auto"/>
          <w:kern w:val="0"/>
          <w:sz w:val="24"/>
          <w:szCs w:val="24"/>
          <w:highlight w:val="none"/>
        </w:rPr>
        <w:t>．分项报价表格式</w:t>
      </w:r>
    </w:p>
    <w:p w14:paraId="03525B79">
      <w:pPr>
        <w:widowControl/>
        <w:snapToGrid w:val="0"/>
        <w:spacing w:line="360" w:lineRule="auto"/>
        <w:jc w:val="center"/>
        <w:rPr>
          <w:rFonts w:hint="eastAsia" w:ascii="仿宋" w:hAnsi="仿宋" w:eastAsia="仿宋" w:cs="仿宋"/>
          <w:b/>
          <w:color w:val="auto"/>
          <w:kern w:val="0"/>
          <w:sz w:val="24"/>
          <w:szCs w:val="24"/>
          <w:highlight w:val="none"/>
          <w:lang w:val="en-US" w:eastAsia="zh-CN"/>
        </w:rPr>
      </w:pPr>
      <w:r>
        <w:rPr>
          <w:rFonts w:hint="eastAsia" w:ascii="仿宋" w:hAnsi="仿宋" w:eastAsia="仿宋" w:cs="仿宋"/>
          <w:b/>
          <w:color w:val="auto"/>
          <w:kern w:val="0"/>
          <w:sz w:val="24"/>
          <w:szCs w:val="24"/>
          <w:highlight w:val="none"/>
          <w:lang w:eastAsia="zh-CN"/>
        </w:rPr>
        <w:t>分项报价表</w:t>
      </w:r>
    </w:p>
    <w:p w14:paraId="0B61BF31">
      <w:pPr>
        <w:widowControl/>
        <w:snapToGrid w:val="0"/>
        <w:spacing w:line="360" w:lineRule="auto"/>
        <w:jc w:val="left"/>
        <w:rPr>
          <w:rFonts w:hint="eastAsia" w:ascii="仿宋" w:hAnsi="仿宋" w:eastAsia="仿宋" w:cs="仿宋"/>
          <w:color w:val="auto"/>
          <w:kern w:val="0"/>
          <w:sz w:val="28"/>
          <w:highlight w:val="none"/>
        </w:rPr>
      </w:pPr>
    </w:p>
    <w:p w14:paraId="2BE21A21">
      <w:pPr>
        <w:widowControl/>
        <w:snapToGri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项目名称：</w:t>
      </w:r>
      <w:r>
        <w:rPr>
          <w:rFonts w:hint="eastAsia" w:ascii="仿宋" w:hAnsi="仿宋" w:eastAsia="仿宋" w:cs="仿宋"/>
          <w:color w:val="auto"/>
          <w:kern w:val="0"/>
          <w:sz w:val="24"/>
          <w:szCs w:val="24"/>
          <w:highlight w:val="none"/>
          <w:u w:val="single"/>
        </w:rPr>
        <w:t xml:space="preserve">                    </w:t>
      </w:r>
    </w:p>
    <w:p w14:paraId="3E29AE08">
      <w:pPr>
        <w:widowControl/>
        <w:snapToGri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项目编号:</w:t>
      </w:r>
      <w:r>
        <w:rPr>
          <w:rFonts w:hint="eastAsia" w:ascii="仿宋" w:hAnsi="仿宋" w:eastAsia="仿宋" w:cs="仿宋"/>
          <w:color w:val="auto"/>
          <w:kern w:val="0"/>
          <w:sz w:val="24"/>
          <w:szCs w:val="24"/>
          <w:highlight w:val="none"/>
          <w:u w:val="single"/>
        </w:rPr>
        <w:t xml:space="preserve">                    </w:t>
      </w:r>
    </w:p>
    <w:p w14:paraId="2EF50997">
      <w:pPr>
        <w:widowControl/>
        <w:snapToGrid w:val="0"/>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采购编号</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szCs w:val="24"/>
          <w:highlight w:val="none"/>
          <w:u w:val="single"/>
        </w:rPr>
        <w:t xml:space="preserve">                    </w:t>
      </w:r>
    </w:p>
    <w:p w14:paraId="2AA3A7EB">
      <w:pPr>
        <w:widowControl/>
        <w:snapToGrid w:val="0"/>
        <w:spacing w:line="360" w:lineRule="auto"/>
        <w:ind w:firstLine="6000" w:firstLineChars="25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货币：人民币/元</w:t>
      </w:r>
    </w:p>
    <w:tbl>
      <w:tblPr>
        <w:tblStyle w:val="20"/>
        <w:tblW w:w="9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243"/>
        <w:gridCol w:w="711"/>
        <w:gridCol w:w="711"/>
        <w:gridCol w:w="786"/>
        <w:gridCol w:w="872"/>
        <w:gridCol w:w="805"/>
        <w:gridCol w:w="1163"/>
        <w:gridCol w:w="750"/>
        <w:gridCol w:w="754"/>
        <w:gridCol w:w="1325"/>
      </w:tblGrid>
      <w:tr w14:paraId="3E72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1893462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序号</w:t>
            </w:r>
          </w:p>
        </w:tc>
        <w:tc>
          <w:tcPr>
            <w:tcW w:w="1243" w:type="dxa"/>
            <w:tcBorders>
              <w:top w:val="single" w:color="auto" w:sz="4" w:space="0"/>
              <w:left w:val="single" w:color="auto" w:sz="4" w:space="0"/>
              <w:bottom w:val="single" w:color="auto" w:sz="4" w:space="0"/>
              <w:right w:val="single" w:color="auto" w:sz="4" w:space="0"/>
            </w:tcBorders>
            <w:noWrap w:val="0"/>
            <w:vAlign w:val="center"/>
          </w:tcPr>
          <w:p w14:paraId="551F340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标的名称</w:t>
            </w:r>
          </w:p>
        </w:tc>
        <w:tc>
          <w:tcPr>
            <w:tcW w:w="711" w:type="dxa"/>
            <w:tcBorders>
              <w:top w:val="single" w:color="auto" w:sz="4" w:space="0"/>
              <w:left w:val="single" w:color="auto" w:sz="4" w:space="0"/>
              <w:bottom w:val="single" w:color="auto" w:sz="4" w:space="0"/>
              <w:right w:val="single" w:color="auto" w:sz="4" w:space="0"/>
            </w:tcBorders>
            <w:noWrap w:val="0"/>
            <w:vAlign w:val="center"/>
          </w:tcPr>
          <w:p w14:paraId="3A98D17B">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1"/>
                <w:szCs w:val="21"/>
                <w:highlight w:val="none"/>
              </w:rPr>
            </w:pPr>
            <w:r>
              <w:rPr>
                <w:rFonts w:hint="eastAsia" w:ascii="仿宋" w:hAnsi="仿宋" w:eastAsia="仿宋" w:cs="仿宋"/>
                <w:b w:val="0"/>
                <w:i w:val="0"/>
                <w:caps w:val="0"/>
                <w:color w:val="auto"/>
                <w:spacing w:val="0"/>
                <w:w w:val="100"/>
                <w:kern w:val="0"/>
                <w:sz w:val="21"/>
                <w:szCs w:val="21"/>
                <w:highlight w:val="none"/>
              </w:rPr>
              <w:t>所属行业</w:t>
            </w:r>
          </w:p>
        </w:tc>
        <w:tc>
          <w:tcPr>
            <w:tcW w:w="711" w:type="dxa"/>
            <w:tcBorders>
              <w:top w:val="single" w:color="auto" w:sz="4" w:space="0"/>
              <w:left w:val="single" w:color="auto" w:sz="4" w:space="0"/>
              <w:bottom w:val="single" w:color="auto" w:sz="4" w:space="0"/>
              <w:right w:val="single" w:color="auto" w:sz="4" w:space="0"/>
            </w:tcBorders>
            <w:noWrap w:val="0"/>
            <w:vAlign w:val="center"/>
          </w:tcPr>
          <w:p w14:paraId="7EC1EEA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数量</w:t>
            </w:r>
          </w:p>
        </w:tc>
        <w:tc>
          <w:tcPr>
            <w:tcW w:w="786" w:type="dxa"/>
            <w:tcBorders>
              <w:top w:val="single" w:color="auto" w:sz="4" w:space="0"/>
              <w:left w:val="single" w:color="auto" w:sz="4" w:space="0"/>
              <w:bottom w:val="single" w:color="auto" w:sz="4" w:space="0"/>
              <w:right w:val="single" w:color="auto" w:sz="4" w:space="0"/>
            </w:tcBorders>
            <w:noWrap w:val="0"/>
            <w:vAlign w:val="center"/>
          </w:tcPr>
          <w:p w14:paraId="2FB36AF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单位</w:t>
            </w:r>
          </w:p>
        </w:tc>
        <w:tc>
          <w:tcPr>
            <w:tcW w:w="872" w:type="dxa"/>
            <w:tcBorders>
              <w:top w:val="single" w:color="auto" w:sz="4" w:space="0"/>
              <w:left w:val="single" w:color="auto" w:sz="4" w:space="0"/>
              <w:bottom w:val="single" w:color="auto" w:sz="4" w:space="0"/>
              <w:right w:val="single" w:color="auto" w:sz="4" w:space="0"/>
            </w:tcBorders>
            <w:noWrap w:val="0"/>
            <w:vAlign w:val="center"/>
          </w:tcPr>
          <w:p w14:paraId="5B97502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品牌</w:t>
            </w:r>
          </w:p>
        </w:tc>
        <w:tc>
          <w:tcPr>
            <w:tcW w:w="805" w:type="dxa"/>
            <w:tcBorders>
              <w:top w:val="single" w:color="auto" w:sz="4" w:space="0"/>
              <w:left w:val="single" w:color="auto" w:sz="4" w:space="0"/>
              <w:bottom w:val="single" w:color="auto" w:sz="4" w:space="0"/>
              <w:right w:val="single" w:color="auto" w:sz="4" w:space="0"/>
            </w:tcBorders>
            <w:noWrap w:val="0"/>
            <w:vAlign w:val="center"/>
          </w:tcPr>
          <w:p w14:paraId="5DCA3D29">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规格型号</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D3E781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产地及制造商全称</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7F18B31B">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单价</w:t>
            </w:r>
          </w:p>
        </w:tc>
        <w:tc>
          <w:tcPr>
            <w:tcW w:w="754" w:type="dxa"/>
            <w:tcBorders>
              <w:top w:val="single" w:color="auto" w:sz="4" w:space="0"/>
              <w:left w:val="single" w:color="auto" w:sz="4" w:space="0"/>
              <w:bottom w:val="single" w:color="auto" w:sz="4" w:space="0"/>
              <w:right w:val="single" w:color="auto" w:sz="4" w:space="0"/>
            </w:tcBorders>
            <w:noWrap w:val="0"/>
            <w:vAlign w:val="center"/>
          </w:tcPr>
          <w:p w14:paraId="00325B5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合价</w:t>
            </w:r>
          </w:p>
        </w:tc>
        <w:tc>
          <w:tcPr>
            <w:tcW w:w="1325" w:type="dxa"/>
            <w:tcBorders>
              <w:top w:val="single" w:color="auto" w:sz="4" w:space="0"/>
              <w:left w:val="single" w:color="auto" w:sz="4" w:space="0"/>
              <w:bottom w:val="single" w:color="auto" w:sz="4" w:space="0"/>
              <w:right w:val="single" w:color="auto" w:sz="4" w:space="0"/>
            </w:tcBorders>
            <w:noWrap w:val="0"/>
            <w:vAlign w:val="center"/>
          </w:tcPr>
          <w:p w14:paraId="72125DD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lang w:val="en-US" w:eastAsia="zh-CN"/>
              </w:rPr>
            </w:pPr>
            <w:r>
              <w:rPr>
                <w:rFonts w:hint="eastAsia" w:ascii="仿宋" w:hAnsi="仿宋" w:eastAsia="仿宋" w:cs="仿宋"/>
                <w:b w:val="0"/>
                <w:i w:val="0"/>
                <w:caps w:val="0"/>
                <w:color w:val="auto"/>
                <w:spacing w:val="0"/>
                <w:w w:val="100"/>
                <w:kern w:val="0"/>
                <w:sz w:val="21"/>
                <w:szCs w:val="21"/>
                <w:highlight w:val="none"/>
              </w:rPr>
              <w:t>质保</w:t>
            </w:r>
            <w:r>
              <w:rPr>
                <w:rFonts w:hint="eastAsia" w:ascii="仿宋" w:hAnsi="仿宋" w:eastAsia="仿宋" w:cs="仿宋"/>
                <w:b w:val="0"/>
                <w:i w:val="0"/>
                <w:caps w:val="0"/>
                <w:color w:val="auto"/>
                <w:spacing w:val="0"/>
                <w:w w:val="100"/>
                <w:kern w:val="0"/>
                <w:sz w:val="21"/>
                <w:szCs w:val="21"/>
                <w:highlight w:val="none"/>
                <w:lang w:val="en-US" w:eastAsia="zh-CN"/>
              </w:rPr>
              <w:t>期限</w:t>
            </w:r>
          </w:p>
        </w:tc>
      </w:tr>
      <w:tr w14:paraId="37DE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6B3AA392">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1</w:t>
            </w:r>
          </w:p>
        </w:tc>
        <w:tc>
          <w:tcPr>
            <w:tcW w:w="1243" w:type="dxa"/>
            <w:tcBorders>
              <w:top w:val="single" w:color="auto" w:sz="4" w:space="0"/>
              <w:left w:val="single" w:color="auto" w:sz="4" w:space="0"/>
              <w:right w:val="single" w:color="auto" w:sz="4" w:space="0"/>
            </w:tcBorders>
            <w:noWrap w:val="0"/>
            <w:vAlign w:val="center"/>
          </w:tcPr>
          <w:p w14:paraId="663577A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2FEBF7F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68DF2BB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11DC9DF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6D76A9E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1BE2194F">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7310B09">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2B46E78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3FD713D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0C35289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5671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65AD8D1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2</w:t>
            </w:r>
          </w:p>
        </w:tc>
        <w:tc>
          <w:tcPr>
            <w:tcW w:w="1243" w:type="dxa"/>
            <w:tcBorders>
              <w:top w:val="single" w:color="auto" w:sz="4" w:space="0"/>
              <w:left w:val="single" w:color="auto" w:sz="4" w:space="0"/>
              <w:right w:val="single" w:color="auto" w:sz="4" w:space="0"/>
            </w:tcBorders>
            <w:noWrap w:val="0"/>
            <w:vAlign w:val="center"/>
          </w:tcPr>
          <w:p w14:paraId="2F26834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4C654F09">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2497628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24889572">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2EAC97A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D59172C">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6B70A1F6">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06BF71D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710A4F7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74DB751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19C2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7EB0F7C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3</w:t>
            </w:r>
          </w:p>
        </w:tc>
        <w:tc>
          <w:tcPr>
            <w:tcW w:w="1243" w:type="dxa"/>
            <w:tcBorders>
              <w:top w:val="single" w:color="auto" w:sz="4" w:space="0"/>
              <w:left w:val="single" w:color="auto" w:sz="4" w:space="0"/>
              <w:right w:val="single" w:color="auto" w:sz="4" w:space="0"/>
            </w:tcBorders>
            <w:noWrap w:val="0"/>
            <w:vAlign w:val="center"/>
          </w:tcPr>
          <w:p w14:paraId="3F1DF276">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2F15ACC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3BC6F7F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6A417B9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344D7509">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3A67998">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6DCD7DBD">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32CEAF3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7ECE29F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52668D5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39CE1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4F6DBF2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w:t>
            </w:r>
          </w:p>
        </w:tc>
        <w:tc>
          <w:tcPr>
            <w:tcW w:w="1243" w:type="dxa"/>
            <w:tcBorders>
              <w:top w:val="single" w:color="auto" w:sz="4" w:space="0"/>
              <w:left w:val="single" w:color="auto" w:sz="4" w:space="0"/>
              <w:right w:val="single" w:color="auto" w:sz="4" w:space="0"/>
            </w:tcBorders>
            <w:noWrap w:val="0"/>
            <w:vAlign w:val="center"/>
          </w:tcPr>
          <w:p w14:paraId="049AB85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5FBCB9B6">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7059081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2FB83B94">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6D47AFDB">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5D47BEC">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5ACC9E22">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2A9C0E0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00C2757B">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7A21ECB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3379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62F9F2F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15E6C54C">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463244A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3220508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4ED378A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0451D54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51A07947">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268140E">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2B904B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491B4BD6">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75684BE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7CFB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5B020A4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0BB2D89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5942831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791B53E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6F951402">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1A68008C">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8302BA3">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327800EA">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0283CB59">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47178B0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7FC22A8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4EB9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3D1EECB9">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7E2D27F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5FDE3D7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4053BFE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51A7255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5236EA5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AD016A5">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44357F5">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28CF5296">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78580604">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579ED33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03B5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28EE456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30D3FD5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560352C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7D8BFB1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5835DE34">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4176F4F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1E2917B">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581EE9A">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22194A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3CDAB89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11384D0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4AD9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62ED17E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4C58BD9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3D923C6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4CD91F49">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7FA6698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498B557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6CF4DC29">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BC9B289">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7462907C">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169132BB">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12F6098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72D4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14A65BC6">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0A8B9B56">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4025AC8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6FEE8C0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48FAFA3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3CE16A42">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3136FCFB">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9F10A69">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7535F83E">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11ED1A7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5804D63C">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0BEF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1925D7A0">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71998B1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47EAC7F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0E7063F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65D1BCA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286DFD3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28B5BCCE">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3BD1714F">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0753F5E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724749AC">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76874BBC">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0245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2E651AD1">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243" w:type="dxa"/>
            <w:tcBorders>
              <w:top w:val="single" w:color="auto" w:sz="4" w:space="0"/>
              <w:left w:val="single" w:color="auto" w:sz="4" w:space="0"/>
              <w:right w:val="single" w:color="auto" w:sz="4" w:space="0"/>
            </w:tcBorders>
            <w:noWrap w:val="0"/>
            <w:vAlign w:val="center"/>
          </w:tcPr>
          <w:p w14:paraId="0986718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10EACBE9">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0813B8A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1A0B0B0F">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1EC54F8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7B56895B">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45E0DFBB">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1AC297A4">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3FB2B34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643483F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053A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725" w:type="dxa"/>
            <w:tcBorders>
              <w:top w:val="single" w:color="auto" w:sz="4" w:space="0"/>
              <w:left w:val="single" w:color="auto" w:sz="4" w:space="0"/>
              <w:right w:val="single" w:color="auto" w:sz="4" w:space="0"/>
            </w:tcBorders>
            <w:noWrap w:val="0"/>
            <w:vAlign w:val="center"/>
          </w:tcPr>
          <w:p w14:paraId="3280972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w:t>
            </w:r>
          </w:p>
        </w:tc>
        <w:tc>
          <w:tcPr>
            <w:tcW w:w="1243" w:type="dxa"/>
            <w:tcBorders>
              <w:top w:val="single" w:color="auto" w:sz="4" w:space="0"/>
              <w:left w:val="single" w:color="auto" w:sz="4" w:space="0"/>
              <w:right w:val="single" w:color="auto" w:sz="4" w:space="0"/>
            </w:tcBorders>
            <w:noWrap w:val="0"/>
            <w:vAlign w:val="center"/>
          </w:tcPr>
          <w:p w14:paraId="15CF78A8">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4726623D">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14:paraId="1947E805">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86" w:type="dxa"/>
            <w:tcBorders>
              <w:top w:val="single" w:color="auto" w:sz="4" w:space="0"/>
              <w:left w:val="single" w:color="auto" w:sz="4" w:space="0"/>
              <w:bottom w:val="single" w:color="auto" w:sz="4" w:space="0"/>
              <w:right w:val="single" w:color="auto" w:sz="4" w:space="0"/>
            </w:tcBorders>
            <w:noWrap w:val="0"/>
            <w:vAlign w:val="center"/>
          </w:tcPr>
          <w:p w14:paraId="75B97803">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72" w:type="dxa"/>
            <w:tcBorders>
              <w:top w:val="single" w:color="auto" w:sz="4" w:space="0"/>
              <w:left w:val="single" w:color="auto" w:sz="4" w:space="0"/>
              <w:bottom w:val="single" w:color="auto" w:sz="4" w:space="0"/>
              <w:right w:val="single" w:color="auto" w:sz="4" w:space="0"/>
            </w:tcBorders>
            <w:noWrap w:val="0"/>
            <w:vAlign w:val="center"/>
          </w:tcPr>
          <w:p w14:paraId="105F20D7">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805" w:type="dxa"/>
            <w:tcBorders>
              <w:top w:val="single" w:color="auto" w:sz="4" w:space="0"/>
              <w:left w:val="single" w:color="auto" w:sz="4" w:space="0"/>
              <w:bottom w:val="single" w:color="auto" w:sz="4" w:space="0"/>
              <w:right w:val="single" w:color="auto" w:sz="4" w:space="0"/>
            </w:tcBorders>
            <w:noWrap w:val="0"/>
            <w:vAlign w:val="center"/>
          </w:tcPr>
          <w:p w14:paraId="0D2F99F1">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349D29E">
            <w:pPr>
              <w:pStyle w:val="26"/>
              <w:snapToGrid w:val="0"/>
              <w:spacing w:before="0" w:beforeAutospacing="0" w:after="0" w:afterAutospacing="0" w:line="360" w:lineRule="auto"/>
              <w:ind w:firstLine="0" w:firstLineChars="0"/>
              <w:jc w:val="both"/>
              <w:textAlignment w:val="baseline"/>
              <w:outlineLvl w:val="9"/>
              <w:rPr>
                <w:rFonts w:hint="eastAsia" w:ascii="仿宋" w:hAnsi="仿宋" w:eastAsia="仿宋" w:cs="仿宋"/>
                <w:b w:val="0"/>
                <w:bCs/>
                <w:i w:val="0"/>
                <w:caps w:val="0"/>
                <w:color w:val="auto"/>
                <w:spacing w:val="0"/>
                <w:w w:val="100"/>
                <w:sz w:val="21"/>
                <w:szCs w:val="21"/>
                <w:highlight w:val="none"/>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14A3F5C6">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754" w:type="dxa"/>
            <w:tcBorders>
              <w:top w:val="single" w:color="auto" w:sz="4" w:space="0"/>
              <w:left w:val="single" w:color="auto" w:sz="4" w:space="0"/>
              <w:bottom w:val="single" w:color="auto" w:sz="4" w:space="0"/>
              <w:right w:val="single" w:color="auto" w:sz="4" w:space="0"/>
            </w:tcBorders>
            <w:noWrap w:val="0"/>
            <w:vAlign w:val="center"/>
          </w:tcPr>
          <w:p w14:paraId="3970D55A">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c>
          <w:tcPr>
            <w:tcW w:w="1325" w:type="dxa"/>
            <w:tcBorders>
              <w:top w:val="single" w:color="auto" w:sz="4" w:space="0"/>
              <w:left w:val="single" w:color="auto" w:sz="4" w:space="0"/>
              <w:bottom w:val="single" w:color="auto" w:sz="4" w:space="0"/>
              <w:right w:val="single" w:color="auto" w:sz="4" w:space="0"/>
            </w:tcBorders>
            <w:noWrap w:val="0"/>
            <w:vAlign w:val="center"/>
          </w:tcPr>
          <w:p w14:paraId="12216092">
            <w:pPr>
              <w:widowControl/>
              <w:snapToGrid w:val="0"/>
              <w:spacing w:before="0" w:beforeAutospacing="0" w:after="0" w:afterAutospacing="0" w:line="360" w:lineRule="auto"/>
              <w:jc w:val="center"/>
              <w:textAlignment w:val="baseline"/>
              <w:outlineLvl w:val="9"/>
              <w:rPr>
                <w:rFonts w:hint="eastAsia" w:ascii="仿宋" w:hAnsi="仿宋" w:eastAsia="仿宋" w:cs="仿宋"/>
                <w:b w:val="0"/>
                <w:i w:val="0"/>
                <w:caps w:val="0"/>
                <w:color w:val="auto"/>
                <w:spacing w:val="0"/>
                <w:w w:val="100"/>
                <w:kern w:val="0"/>
                <w:sz w:val="20"/>
                <w:szCs w:val="21"/>
                <w:highlight w:val="none"/>
              </w:rPr>
            </w:pPr>
          </w:p>
        </w:tc>
      </w:tr>
      <w:tr w14:paraId="0FF0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2A06EF39">
            <w:pPr>
              <w:widowControl/>
              <w:snapToGrid w:val="0"/>
              <w:spacing w:before="0" w:beforeAutospacing="0" w:after="0" w:afterAutospacing="0" w:line="360" w:lineRule="auto"/>
              <w:jc w:val="left"/>
              <w:textAlignment w:val="baseline"/>
              <w:outlineLvl w:val="9"/>
              <w:rPr>
                <w:rFonts w:hint="eastAsia" w:ascii="仿宋" w:hAnsi="仿宋" w:eastAsia="仿宋" w:cs="仿宋"/>
                <w:b w:val="0"/>
                <w:i w:val="0"/>
                <w:caps w:val="0"/>
                <w:color w:val="auto"/>
                <w:spacing w:val="0"/>
                <w:w w:val="100"/>
                <w:kern w:val="0"/>
                <w:sz w:val="21"/>
                <w:szCs w:val="21"/>
                <w:highlight w:val="none"/>
              </w:rPr>
            </w:pPr>
          </w:p>
        </w:tc>
        <w:tc>
          <w:tcPr>
            <w:tcW w:w="9120" w:type="dxa"/>
            <w:gridSpan w:val="10"/>
            <w:tcBorders>
              <w:top w:val="single" w:color="auto" w:sz="4" w:space="0"/>
              <w:left w:val="single" w:color="auto" w:sz="4" w:space="0"/>
              <w:bottom w:val="single" w:color="auto" w:sz="4" w:space="0"/>
              <w:right w:val="single" w:color="auto" w:sz="4" w:space="0"/>
            </w:tcBorders>
            <w:noWrap w:val="0"/>
            <w:vAlign w:val="center"/>
          </w:tcPr>
          <w:p w14:paraId="321489E8">
            <w:pPr>
              <w:widowControl/>
              <w:snapToGrid w:val="0"/>
              <w:spacing w:before="0" w:beforeAutospacing="0" w:after="0" w:afterAutospacing="0" w:line="360" w:lineRule="auto"/>
              <w:jc w:val="left"/>
              <w:textAlignment w:val="baseline"/>
              <w:outlineLvl w:val="9"/>
              <w:rPr>
                <w:rFonts w:hint="eastAsia" w:ascii="仿宋" w:hAnsi="仿宋" w:eastAsia="仿宋" w:cs="仿宋"/>
                <w:b w:val="0"/>
                <w:i w:val="0"/>
                <w:caps w:val="0"/>
                <w:color w:val="auto"/>
                <w:spacing w:val="0"/>
                <w:w w:val="100"/>
                <w:kern w:val="0"/>
                <w:sz w:val="20"/>
                <w:szCs w:val="21"/>
                <w:highlight w:val="none"/>
              </w:rPr>
            </w:pPr>
            <w:r>
              <w:rPr>
                <w:rFonts w:hint="eastAsia" w:ascii="仿宋" w:hAnsi="仿宋" w:eastAsia="仿宋" w:cs="仿宋"/>
                <w:b w:val="0"/>
                <w:i w:val="0"/>
                <w:caps w:val="0"/>
                <w:color w:val="auto"/>
                <w:spacing w:val="0"/>
                <w:w w:val="100"/>
                <w:kern w:val="0"/>
                <w:sz w:val="21"/>
                <w:szCs w:val="21"/>
                <w:highlight w:val="none"/>
              </w:rPr>
              <w:t>总报价：（大写）                             （小写）￥</w:t>
            </w:r>
          </w:p>
        </w:tc>
      </w:tr>
    </w:tbl>
    <w:p w14:paraId="51BFF1E3">
      <w:pPr>
        <w:widowControl/>
        <w:tabs>
          <w:tab w:val="left" w:pos="4000"/>
        </w:tabs>
        <w:snapToGrid w:val="0"/>
        <w:spacing w:line="360" w:lineRule="auto"/>
        <w:jc w:val="left"/>
        <w:rPr>
          <w:rFonts w:hint="eastAsia" w:ascii="仿宋" w:hAnsi="仿宋" w:eastAsia="仿宋" w:cs="仿宋"/>
          <w:color w:val="auto"/>
          <w:kern w:val="0"/>
          <w:sz w:val="28"/>
          <w:highlight w:val="none"/>
        </w:rPr>
      </w:pPr>
    </w:p>
    <w:p w14:paraId="1947997A">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szCs w:val="24"/>
          <w:highlight w:val="none"/>
        </w:rPr>
        <w:t>供应商名称：</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(盖章)</w:t>
      </w:r>
    </w:p>
    <w:p w14:paraId="29AFE498">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highlight w:val="none"/>
          <w:lang w:eastAsia="zh-CN"/>
        </w:rPr>
        <w:t>法定代表人或供应商授权代表</w:t>
      </w:r>
      <w:r>
        <w:rPr>
          <w:rFonts w:hint="eastAsia" w:ascii="仿宋" w:hAnsi="仿宋" w:eastAsia="仿宋" w:cs="仿宋"/>
          <w:color w:val="auto"/>
          <w:spacing w:val="0"/>
          <w:kern w:val="21"/>
          <w:sz w:val="24"/>
          <w:szCs w:val="24"/>
          <w:highlight w:val="none"/>
        </w:rPr>
        <w:t>：</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(签字或盖章)</w:t>
      </w:r>
    </w:p>
    <w:p w14:paraId="3BF5BED4">
      <w:pPr>
        <w:keepNext w:val="0"/>
        <w:keepLines w:val="0"/>
        <w:pageBreakBefore w:val="0"/>
        <w:widowControl/>
        <w:tabs>
          <w:tab w:val="left" w:pos="567"/>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highlight w:val="none"/>
        </w:rPr>
      </w:pPr>
      <w:r>
        <w:rPr>
          <w:rFonts w:hint="eastAsia" w:ascii="仿宋" w:hAnsi="仿宋" w:eastAsia="仿宋" w:cs="仿宋"/>
          <w:color w:val="auto"/>
          <w:spacing w:val="0"/>
          <w:kern w:val="21"/>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p>
    <w:p w14:paraId="375ADA6A">
      <w:pPr>
        <w:widowControl/>
        <w:tabs>
          <w:tab w:val="left" w:pos="567"/>
        </w:tabs>
        <w:snapToGrid w:val="0"/>
        <w:spacing w:line="360" w:lineRule="auto"/>
        <w:jc w:val="both"/>
        <w:rPr>
          <w:rFonts w:hint="eastAsia" w:ascii="仿宋" w:hAnsi="仿宋" w:eastAsia="仿宋" w:cs="仿宋"/>
          <w:b/>
          <w:color w:val="auto"/>
          <w:kern w:val="0"/>
          <w:highlight w:val="none"/>
        </w:rPr>
      </w:pPr>
      <w:r>
        <w:rPr>
          <w:rFonts w:hint="eastAsia" w:ascii="仿宋" w:hAnsi="仿宋" w:eastAsia="仿宋" w:cs="仿宋"/>
          <w:color w:val="auto"/>
          <w:kern w:val="0"/>
          <w:sz w:val="24"/>
          <w:szCs w:val="24"/>
          <w:highlight w:val="none"/>
        </w:rPr>
        <w:br w:type="page"/>
      </w:r>
      <w:r>
        <w:rPr>
          <w:rFonts w:hint="eastAsia" w:ascii="仿宋" w:hAnsi="仿宋" w:eastAsia="仿宋" w:cs="仿宋"/>
          <w:b/>
          <w:color w:val="auto"/>
          <w:kern w:val="0"/>
          <w:sz w:val="24"/>
          <w:szCs w:val="24"/>
          <w:highlight w:val="none"/>
          <w:lang w:val="en-US" w:eastAsia="zh-CN"/>
        </w:rPr>
        <w:t>6</w:t>
      </w:r>
      <w:r>
        <w:rPr>
          <w:rFonts w:hint="eastAsia" w:ascii="仿宋" w:hAnsi="仿宋" w:eastAsia="仿宋" w:cs="仿宋"/>
          <w:b/>
          <w:color w:val="auto"/>
          <w:kern w:val="0"/>
          <w:sz w:val="24"/>
          <w:szCs w:val="24"/>
          <w:highlight w:val="none"/>
        </w:rPr>
        <w:t>．近三年同类项目案例及相关证明资料（格式自拟）</w:t>
      </w:r>
    </w:p>
    <w:p w14:paraId="289F16EE">
      <w:pPr>
        <w:widowControl/>
        <w:tabs>
          <w:tab w:val="left" w:pos="567"/>
        </w:tabs>
        <w:snapToGrid w:val="0"/>
        <w:spacing w:line="360" w:lineRule="auto"/>
        <w:jc w:val="lef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lang w:val="en-US" w:eastAsia="zh-CN"/>
        </w:rPr>
        <w:t>7</w:t>
      </w:r>
      <w:r>
        <w:rPr>
          <w:rFonts w:hint="eastAsia" w:ascii="仿宋" w:hAnsi="仿宋" w:eastAsia="仿宋" w:cs="仿宋"/>
          <w:b/>
          <w:color w:val="auto"/>
          <w:kern w:val="0"/>
          <w:sz w:val="24"/>
          <w:szCs w:val="24"/>
          <w:highlight w:val="none"/>
        </w:rPr>
        <w:t>．商务偏离表格式</w:t>
      </w:r>
    </w:p>
    <w:p w14:paraId="5978693D">
      <w:pPr>
        <w:spacing w:line="480" w:lineRule="exact"/>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商务偏离表</w:t>
      </w:r>
    </w:p>
    <w:p w14:paraId="6B86A284">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r>
        <w:rPr>
          <w:rFonts w:hint="eastAsia" w:ascii="仿宋" w:hAnsi="仿宋" w:eastAsia="仿宋" w:cs="仿宋"/>
          <w:color w:val="auto"/>
          <w:spacing w:val="0"/>
          <w:kern w:val="21"/>
          <w:sz w:val="24"/>
          <w:szCs w:val="24"/>
          <w:highlight w:val="none"/>
          <w:u w:val="single"/>
        </w:rPr>
        <w:t xml:space="preserve">                    </w:t>
      </w:r>
    </w:p>
    <w:p w14:paraId="73EDB908">
      <w:pPr>
        <w:widowControl/>
        <w:snapToGrid w:val="0"/>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项目编号：</w:t>
      </w:r>
      <w:r>
        <w:rPr>
          <w:rFonts w:hint="eastAsia" w:ascii="仿宋" w:hAnsi="仿宋" w:eastAsia="仿宋" w:cs="仿宋"/>
          <w:color w:val="auto"/>
          <w:spacing w:val="0"/>
          <w:kern w:val="21"/>
          <w:sz w:val="24"/>
          <w:szCs w:val="24"/>
          <w:highlight w:val="none"/>
          <w:u w:val="single"/>
        </w:rPr>
        <w:t xml:space="preserve">                    </w:t>
      </w:r>
    </w:p>
    <w:p w14:paraId="0D5DE6CE">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采购编号</w:t>
      </w:r>
      <w:r>
        <w:rPr>
          <w:rFonts w:hint="eastAsia" w:ascii="仿宋" w:hAnsi="仿宋" w:eastAsia="仿宋" w:cs="仿宋"/>
          <w:color w:val="auto"/>
          <w:kern w:val="0"/>
          <w:sz w:val="24"/>
          <w:szCs w:val="24"/>
          <w:highlight w:val="none"/>
        </w:rPr>
        <w:t>：</w:t>
      </w:r>
      <w:r>
        <w:rPr>
          <w:rFonts w:hint="eastAsia" w:ascii="仿宋" w:hAnsi="仿宋" w:eastAsia="仿宋" w:cs="仿宋"/>
          <w:color w:val="auto"/>
          <w:spacing w:val="0"/>
          <w:kern w:val="21"/>
          <w:sz w:val="24"/>
          <w:szCs w:val="24"/>
          <w:highlight w:val="none"/>
          <w:u w:val="single"/>
        </w:rPr>
        <w:t xml:space="preserve">                    </w:t>
      </w:r>
    </w:p>
    <w:tbl>
      <w:tblPr>
        <w:tblStyle w:val="20"/>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378"/>
        <w:gridCol w:w="2896"/>
        <w:gridCol w:w="1472"/>
        <w:gridCol w:w="981"/>
      </w:tblGrid>
      <w:tr w14:paraId="326B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770" w:type="dxa"/>
            <w:noWrap w:val="0"/>
            <w:vAlign w:val="top"/>
          </w:tcPr>
          <w:p w14:paraId="77464FAC">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378" w:type="dxa"/>
            <w:noWrap w:val="0"/>
            <w:vAlign w:val="top"/>
          </w:tcPr>
          <w:p w14:paraId="24DB0CA3">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谈判文件商务要求</w:t>
            </w:r>
          </w:p>
        </w:tc>
        <w:tc>
          <w:tcPr>
            <w:tcW w:w="2896" w:type="dxa"/>
            <w:noWrap w:val="0"/>
            <w:vAlign w:val="top"/>
          </w:tcPr>
          <w:p w14:paraId="518B85C6">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响应文件的对应响应</w:t>
            </w:r>
          </w:p>
        </w:tc>
        <w:tc>
          <w:tcPr>
            <w:tcW w:w="1472" w:type="dxa"/>
            <w:noWrap w:val="0"/>
            <w:vAlign w:val="top"/>
          </w:tcPr>
          <w:p w14:paraId="2AE3CDE1">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偏离情况</w:t>
            </w:r>
          </w:p>
        </w:tc>
        <w:tc>
          <w:tcPr>
            <w:tcW w:w="981" w:type="dxa"/>
            <w:noWrap w:val="0"/>
            <w:vAlign w:val="top"/>
          </w:tcPr>
          <w:p w14:paraId="66EF8FD1">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14:paraId="1AAB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70" w:type="dxa"/>
            <w:noWrap w:val="0"/>
            <w:vAlign w:val="center"/>
          </w:tcPr>
          <w:p w14:paraId="35A817FF">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378" w:type="dxa"/>
            <w:noWrap w:val="0"/>
            <w:vAlign w:val="center"/>
          </w:tcPr>
          <w:p w14:paraId="29E207EE">
            <w:pPr>
              <w:widowControl/>
              <w:spacing w:line="420" w:lineRule="exact"/>
              <w:jc w:val="center"/>
              <w:rPr>
                <w:rFonts w:hint="eastAsia" w:ascii="仿宋" w:hAnsi="仿宋" w:eastAsia="仿宋" w:cs="仿宋"/>
                <w:color w:val="auto"/>
                <w:kern w:val="0"/>
                <w:sz w:val="24"/>
                <w:szCs w:val="24"/>
                <w:highlight w:val="none"/>
              </w:rPr>
            </w:pPr>
          </w:p>
        </w:tc>
        <w:tc>
          <w:tcPr>
            <w:tcW w:w="2896" w:type="dxa"/>
            <w:noWrap w:val="0"/>
            <w:vAlign w:val="top"/>
          </w:tcPr>
          <w:p w14:paraId="548D9E76">
            <w:pPr>
              <w:snapToGrid w:val="0"/>
              <w:spacing w:line="480" w:lineRule="exact"/>
              <w:jc w:val="center"/>
              <w:rPr>
                <w:rFonts w:hint="eastAsia" w:ascii="仿宋" w:hAnsi="仿宋" w:eastAsia="仿宋" w:cs="仿宋"/>
                <w:color w:val="auto"/>
                <w:sz w:val="24"/>
                <w:szCs w:val="24"/>
                <w:highlight w:val="none"/>
              </w:rPr>
            </w:pPr>
          </w:p>
        </w:tc>
        <w:tc>
          <w:tcPr>
            <w:tcW w:w="1472" w:type="dxa"/>
            <w:noWrap w:val="0"/>
            <w:vAlign w:val="top"/>
          </w:tcPr>
          <w:p w14:paraId="6B0EE228">
            <w:pPr>
              <w:snapToGrid w:val="0"/>
              <w:spacing w:line="480" w:lineRule="exact"/>
              <w:jc w:val="center"/>
              <w:rPr>
                <w:rFonts w:hint="eastAsia" w:ascii="仿宋" w:hAnsi="仿宋" w:eastAsia="仿宋" w:cs="仿宋"/>
                <w:color w:val="auto"/>
                <w:sz w:val="24"/>
                <w:szCs w:val="24"/>
                <w:highlight w:val="none"/>
              </w:rPr>
            </w:pPr>
          </w:p>
        </w:tc>
        <w:tc>
          <w:tcPr>
            <w:tcW w:w="981" w:type="dxa"/>
            <w:noWrap w:val="0"/>
            <w:vAlign w:val="top"/>
          </w:tcPr>
          <w:p w14:paraId="34FD531F">
            <w:pPr>
              <w:snapToGrid w:val="0"/>
              <w:spacing w:line="480" w:lineRule="exact"/>
              <w:jc w:val="center"/>
              <w:rPr>
                <w:rFonts w:hint="eastAsia" w:ascii="仿宋" w:hAnsi="仿宋" w:eastAsia="仿宋" w:cs="仿宋"/>
                <w:color w:val="auto"/>
                <w:sz w:val="24"/>
                <w:szCs w:val="24"/>
                <w:highlight w:val="none"/>
              </w:rPr>
            </w:pPr>
          </w:p>
        </w:tc>
      </w:tr>
      <w:tr w14:paraId="2CA5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70" w:type="dxa"/>
            <w:noWrap w:val="0"/>
            <w:vAlign w:val="center"/>
          </w:tcPr>
          <w:p w14:paraId="6330CE4E">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378" w:type="dxa"/>
            <w:noWrap w:val="0"/>
            <w:vAlign w:val="center"/>
          </w:tcPr>
          <w:p w14:paraId="06AC7E31">
            <w:pPr>
              <w:widowControl/>
              <w:spacing w:line="420" w:lineRule="exact"/>
              <w:jc w:val="center"/>
              <w:rPr>
                <w:rFonts w:hint="eastAsia" w:ascii="仿宋" w:hAnsi="仿宋" w:eastAsia="仿宋" w:cs="仿宋"/>
                <w:color w:val="auto"/>
                <w:kern w:val="0"/>
                <w:sz w:val="24"/>
                <w:szCs w:val="24"/>
                <w:highlight w:val="none"/>
              </w:rPr>
            </w:pPr>
          </w:p>
        </w:tc>
        <w:tc>
          <w:tcPr>
            <w:tcW w:w="2896" w:type="dxa"/>
            <w:noWrap w:val="0"/>
            <w:vAlign w:val="top"/>
          </w:tcPr>
          <w:p w14:paraId="0E47B3B3">
            <w:pPr>
              <w:snapToGrid w:val="0"/>
              <w:spacing w:line="480" w:lineRule="exact"/>
              <w:jc w:val="center"/>
              <w:rPr>
                <w:rFonts w:hint="eastAsia" w:ascii="仿宋" w:hAnsi="仿宋" w:eastAsia="仿宋" w:cs="仿宋"/>
                <w:color w:val="auto"/>
                <w:sz w:val="24"/>
                <w:szCs w:val="24"/>
                <w:highlight w:val="none"/>
              </w:rPr>
            </w:pPr>
          </w:p>
        </w:tc>
        <w:tc>
          <w:tcPr>
            <w:tcW w:w="1472" w:type="dxa"/>
            <w:noWrap w:val="0"/>
            <w:vAlign w:val="top"/>
          </w:tcPr>
          <w:p w14:paraId="79A1294C">
            <w:pPr>
              <w:snapToGrid w:val="0"/>
              <w:spacing w:line="480" w:lineRule="exact"/>
              <w:jc w:val="center"/>
              <w:rPr>
                <w:rFonts w:hint="eastAsia" w:ascii="仿宋" w:hAnsi="仿宋" w:eastAsia="仿宋" w:cs="仿宋"/>
                <w:color w:val="auto"/>
                <w:sz w:val="24"/>
                <w:szCs w:val="24"/>
                <w:highlight w:val="none"/>
              </w:rPr>
            </w:pPr>
          </w:p>
        </w:tc>
        <w:tc>
          <w:tcPr>
            <w:tcW w:w="981" w:type="dxa"/>
            <w:noWrap w:val="0"/>
            <w:vAlign w:val="top"/>
          </w:tcPr>
          <w:p w14:paraId="4D7DE8A5">
            <w:pPr>
              <w:snapToGrid w:val="0"/>
              <w:spacing w:line="480" w:lineRule="exact"/>
              <w:jc w:val="center"/>
              <w:rPr>
                <w:rFonts w:hint="eastAsia" w:ascii="仿宋" w:hAnsi="仿宋" w:eastAsia="仿宋" w:cs="仿宋"/>
                <w:color w:val="auto"/>
                <w:sz w:val="24"/>
                <w:szCs w:val="24"/>
                <w:highlight w:val="none"/>
              </w:rPr>
            </w:pPr>
          </w:p>
        </w:tc>
      </w:tr>
      <w:tr w14:paraId="565A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70" w:type="dxa"/>
            <w:noWrap w:val="0"/>
            <w:vAlign w:val="center"/>
          </w:tcPr>
          <w:p w14:paraId="7D1F48AE">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378" w:type="dxa"/>
            <w:noWrap w:val="0"/>
            <w:vAlign w:val="center"/>
          </w:tcPr>
          <w:p w14:paraId="78D74F45">
            <w:pPr>
              <w:widowControl/>
              <w:spacing w:line="420" w:lineRule="exact"/>
              <w:jc w:val="center"/>
              <w:rPr>
                <w:rFonts w:hint="eastAsia" w:ascii="仿宋" w:hAnsi="仿宋" w:eastAsia="仿宋" w:cs="仿宋"/>
                <w:color w:val="auto"/>
                <w:kern w:val="0"/>
                <w:sz w:val="24"/>
                <w:szCs w:val="24"/>
                <w:highlight w:val="none"/>
              </w:rPr>
            </w:pPr>
          </w:p>
        </w:tc>
        <w:tc>
          <w:tcPr>
            <w:tcW w:w="2896" w:type="dxa"/>
            <w:noWrap w:val="0"/>
            <w:vAlign w:val="top"/>
          </w:tcPr>
          <w:p w14:paraId="24E0A1D3">
            <w:pPr>
              <w:snapToGrid w:val="0"/>
              <w:spacing w:line="480" w:lineRule="exact"/>
              <w:jc w:val="center"/>
              <w:rPr>
                <w:rFonts w:hint="eastAsia" w:ascii="仿宋" w:hAnsi="仿宋" w:eastAsia="仿宋" w:cs="仿宋"/>
                <w:color w:val="auto"/>
                <w:sz w:val="24"/>
                <w:szCs w:val="24"/>
                <w:highlight w:val="none"/>
              </w:rPr>
            </w:pPr>
          </w:p>
        </w:tc>
        <w:tc>
          <w:tcPr>
            <w:tcW w:w="1472" w:type="dxa"/>
            <w:noWrap w:val="0"/>
            <w:vAlign w:val="top"/>
          </w:tcPr>
          <w:p w14:paraId="5539FD6F">
            <w:pPr>
              <w:snapToGrid w:val="0"/>
              <w:spacing w:line="480" w:lineRule="exact"/>
              <w:jc w:val="center"/>
              <w:rPr>
                <w:rFonts w:hint="eastAsia" w:ascii="仿宋" w:hAnsi="仿宋" w:eastAsia="仿宋" w:cs="仿宋"/>
                <w:color w:val="auto"/>
                <w:sz w:val="24"/>
                <w:szCs w:val="24"/>
                <w:highlight w:val="none"/>
              </w:rPr>
            </w:pPr>
          </w:p>
        </w:tc>
        <w:tc>
          <w:tcPr>
            <w:tcW w:w="981" w:type="dxa"/>
            <w:noWrap w:val="0"/>
            <w:vAlign w:val="top"/>
          </w:tcPr>
          <w:p w14:paraId="29D9EB59">
            <w:pPr>
              <w:snapToGrid w:val="0"/>
              <w:spacing w:line="480" w:lineRule="exact"/>
              <w:jc w:val="center"/>
              <w:rPr>
                <w:rFonts w:hint="eastAsia" w:ascii="仿宋" w:hAnsi="仿宋" w:eastAsia="仿宋" w:cs="仿宋"/>
                <w:color w:val="auto"/>
                <w:sz w:val="24"/>
                <w:szCs w:val="24"/>
                <w:highlight w:val="none"/>
              </w:rPr>
            </w:pPr>
          </w:p>
        </w:tc>
      </w:tr>
      <w:tr w14:paraId="6886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70" w:type="dxa"/>
            <w:noWrap w:val="0"/>
            <w:vAlign w:val="center"/>
          </w:tcPr>
          <w:p w14:paraId="1B8AE2A5">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2378" w:type="dxa"/>
            <w:noWrap w:val="0"/>
            <w:vAlign w:val="center"/>
          </w:tcPr>
          <w:p w14:paraId="702078B5">
            <w:pPr>
              <w:widowControl/>
              <w:spacing w:line="420" w:lineRule="exact"/>
              <w:jc w:val="center"/>
              <w:rPr>
                <w:rFonts w:hint="eastAsia" w:ascii="仿宋" w:hAnsi="仿宋" w:eastAsia="仿宋" w:cs="仿宋"/>
                <w:color w:val="auto"/>
                <w:kern w:val="0"/>
                <w:sz w:val="24"/>
                <w:szCs w:val="24"/>
                <w:highlight w:val="none"/>
              </w:rPr>
            </w:pPr>
          </w:p>
        </w:tc>
        <w:tc>
          <w:tcPr>
            <w:tcW w:w="2896" w:type="dxa"/>
            <w:noWrap w:val="0"/>
            <w:vAlign w:val="top"/>
          </w:tcPr>
          <w:p w14:paraId="6F74F627">
            <w:pPr>
              <w:snapToGrid w:val="0"/>
              <w:spacing w:line="480" w:lineRule="exact"/>
              <w:jc w:val="center"/>
              <w:rPr>
                <w:rFonts w:hint="eastAsia" w:ascii="仿宋" w:hAnsi="仿宋" w:eastAsia="仿宋" w:cs="仿宋"/>
                <w:color w:val="auto"/>
                <w:sz w:val="24"/>
                <w:szCs w:val="24"/>
                <w:highlight w:val="none"/>
              </w:rPr>
            </w:pPr>
          </w:p>
        </w:tc>
        <w:tc>
          <w:tcPr>
            <w:tcW w:w="1472" w:type="dxa"/>
            <w:noWrap w:val="0"/>
            <w:vAlign w:val="top"/>
          </w:tcPr>
          <w:p w14:paraId="3C05E9EB">
            <w:pPr>
              <w:snapToGrid w:val="0"/>
              <w:spacing w:line="480" w:lineRule="exact"/>
              <w:jc w:val="center"/>
              <w:rPr>
                <w:rFonts w:hint="eastAsia" w:ascii="仿宋" w:hAnsi="仿宋" w:eastAsia="仿宋" w:cs="仿宋"/>
                <w:color w:val="auto"/>
                <w:sz w:val="24"/>
                <w:szCs w:val="24"/>
                <w:highlight w:val="none"/>
              </w:rPr>
            </w:pPr>
          </w:p>
        </w:tc>
        <w:tc>
          <w:tcPr>
            <w:tcW w:w="981" w:type="dxa"/>
            <w:noWrap w:val="0"/>
            <w:vAlign w:val="top"/>
          </w:tcPr>
          <w:p w14:paraId="5DB8E7D7">
            <w:pPr>
              <w:snapToGrid w:val="0"/>
              <w:spacing w:line="480" w:lineRule="exact"/>
              <w:jc w:val="center"/>
              <w:rPr>
                <w:rFonts w:hint="eastAsia" w:ascii="仿宋" w:hAnsi="仿宋" w:eastAsia="仿宋" w:cs="仿宋"/>
                <w:color w:val="auto"/>
                <w:sz w:val="24"/>
                <w:szCs w:val="24"/>
                <w:highlight w:val="none"/>
              </w:rPr>
            </w:pPr>
          </w:p>
        </w:tc>
      </w:tr>
      <w:tr w14:paraId="671B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70" w:type="dxa"/>
            <w:noWrap w:val="0"/>
            <w:vAlign w:val="center"/>
          </w:tcPr>
          <w:p w14:paraId="245ABBED">
            <w:pPr>
              <w:snapToGrid w:val="0"/>
              <w:spacing w:line="48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378" w:type="dxa"/>
            <w:noWrap w:val="0"/>
            <w:vAlign w:val="center"/>
          </w:tcPr>
          <w:p w14:paraId="3BACA12D">
            <w:pPr>
              <w:widowControl/>
              <w:spacing w:line="420" w:lineRule="exact"/>
              <w:jc w:val="center"/>
              <w:rPr>
                <w:rFonts w:hint="eastAsia" w:ascii="仿宋" w:hAnsi="仿宋" w:eastAsia="仿宋" w:cs="仿宋"/>
                <w:color w:val="auto"/>
                <w:kern w:val="0"/>
                <w:sz w:val="24"/>
                <w:szCs w:val="24"/>
                <w:highlight w:val="none"/>
              </w:rPr>
            </w:pPr>
          </w:p>
        </w:tc>
        <w:tc>
          <w:tcPr>
            <w:tcW w:w="2896" w:type="dxa"/>
            <w:noWrap w:val="0"/>
            <w:vAlign w:val="top"/>
          </w:tcPr>
          <w:p w14:paraId="2CA20708">
            <w:pPr>
              <w:snapToGrid w:val="0"/>
              <w:spacing w:line="480" w:lineRule="exact"/>
              <w:jc w:val="center"/>
              <w:rPr>
                <w:rFonts w:hint="eastAsia" w:ascii="仿宋" w:hAnsi="仿宋" w:eastAsia="仿宋" w:cs="仿宋"/>
                <w:color w:val="auto"/>
                <w:sz w:val="24"/>
                <w:szCs w:val="24"/>
                <w:highlight w:val="none"/>
              </w:rPr>
            </w:pPr>
          </w:p>
        </w:tc>
        <w:tc>
          <w:tcPr>
            <w:tcW w:w="1472" w:type="dxa"/>
            <w:noWrap w:val="0"/>
            <w:vAlign w:val="top"/>
          </w:tcPr>
          <w:p w14:paraId="2B379968">
            <w:pPr>
              <w:snapToGrid w:val="0"/>
              <w:spacing w:line="480" w:lineRule="exact"/>
              <w:jc w:val="center"/>
              <w:rPr>
                <w:rFonts w:hint="eastAsia" w:ascii="仿宋" w:hAnsi="仿宋" w:eastAsia="仿宋" w:cs="仿宋"/>
                <w:color w:val="auto"/>
                <w:sz w:val="24"/>
                <w:szCs w:val="24"/>
                <w:highlight w:val="none"/>
              </w:rPr>
            </w:pPr>
          </w:p>
        </w:tc>
        <w:tc>
          <w:tcPr>
            <w:tcW w:w="981" w:type="dxa"/>
            <w:noWrap w:val="0"/>
            <w:vAlign w:val="top"/>
          </w:tcPr>
          <w:p w14:paraId="7F4F4C90">
            <w:pPr>
              <w:snapToGrid w:val="0"/>
              <w:spacing w:line="480" w:lineRule="exact"/>
              <w:jc w:val="center"/>
              <w:rPr>
                <w:rFonts w:hint="eastAsia" w:ascii="仿宋" w:hAnsi="仿宋" w:eastAsia="仿宋" w:cs="仿宋"/>
                <w:color w:val="auto"/>
                <w:sz w:val="24"/>
                <w:szCs w:val="24"/>
                <w:highlight w:val="none"/>
              </w:rPr>
            </w:pPr>
          </w:p>
        </w:tc>
      </w:tr>
      <w:tr w14:paraId="04AE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770" w:type="dxa"/>
            <w:noWrap w:val="0"/>
            <w:vAlign w:val="center"/>
          </w:tcPr>
          <w:p w14:paraId="5AC62028">
            <w:pPr>
              <w:snapToGrid w:val="0"/>
              <w:spacing w:line="48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b w:val="0"/>
                <w:i w:val="0"/>
                <w:caps w:val="0"/>
                <w:color w:val="auto"/>
                <w:spacing w:val="0"/>
                <w:w w:val="100"/>
                <w:kern w:val="0"/>
                <w:sz w:val="21"/>
                <w:szCs w:val="21"/>
                <w:highlight w:val="none"/>
              </w:rPr>
              <w:t>...</w:t>
            </w:r>
          </w:p>
        </w:tc>
        <w:tc>
          <w:tcPr>
            <w:tcW w:w="2378" w:type="dxa"/>
            <w:noWrap w:val="0"/>
            <w:vAlign w:val="center"/>
          </w:tcPr>
          <w:p w14:paraId="2E8CF8D7">
            <w:pPr>
              <w:widowControl/>
              <w:spacing w:line="420" w:lineRule="exact"/>
              <w:jc w:val="center"/>
              <w:rPr>
                <w:rFonts w:hint="eastAsia" w:ascii="仿宋" w:hAnsi="仿宋" w:eastAsia="仿宋" w:cs="仿宋"/>
                <w:color w:val="auto"/>
                <w:kern w:val="0"/>
                <w:sz w:val="24"/>
                <w:szCs w:val="24"/>
                <w:highlight w:val="none"/>
              </w:rPr>
            </w:pPr>
          </w:p>
        </w:tc>
        <w:tc>
          <w:tcPr>
            <w:tcW w:w="2896" w:type="dxa"/>
            <w:noWrap w:val="0"/>
            <w:vAlign w:val="top"/>
          </w:tcPr>
          <w:p w14:paraId="6EB1E370">
            <w:pPr>
              <w:snapToGrid w:val="0"/>
              <w:spacing w:line="480" w:lineRule="exact"/>
              <w:jc w:val="center"/>
              <w:rPr>
                <w:rFonts w:hint="eastAsia" w:ascii="仿宋" w:hAnsi="仿宋" w:eastAsia="仿宋" w:cs="仿宋"/>
                <w:color w:val="auto"/>
                <w:sz w:val="24"/>
                <w:szCs w:val="24"/>
                <w:highlight w:val="none"/>
              </w:rPr>
            </w:pPr>
          </w:p>
        </w:tc>
        <w:tc>
          <w:tcPr>
            <w:tcW w:w="1472" w:type="dxa"/>
            <w:noWrap w:val="0"/>
            <w:vAlign w:val="top"/>
          </w:tcPr>
          <w:p w14:paraId="3E48791D">
            <w:pPr>
              <w:snapToGrid w:val="0"/>
              <w:spacing w:line="480" w:lineRule="exact"/>
              <w:jc w:val="center"/>
              <w:rPr>
                <w:rFonts w:hint="eastAsia" w:ascii="仿宋" w:hAnsi="仿宋" w:eastAsia="仿宋" w:cs="仿宋"/>
                <w:color w:val="auto"/>
                <w:sz w:val="24"/>
                <w:szCs w:val="24"/>
                <w:highlight w:val="none"/>
              </w:rPr>
            </w:pPr>
          </w:p>
        </w:tc>
        <w:tc>
          <w:tcPr>
            <w:tcW w:w="981" w:type="dxa"/>
            <w:noWrap w:val="0"/>
            <w:vAlign w:val="top"/>
          </w:tcPr>
          <w:p w14:paraId="4212ECDB">
            <w:pPr>
              <w:snapToGrid w:val="0"/>
              <w:spacing w:line="480" w:lineRule="exact"/>
              <w:jc w:val="center"/>
              <w:rPr>
                <w:rFonts w:hint="eastAsia" w:ascii="仿宋" w:hAnsi="仿宋" w:eastAsia="仿宋" w:cs="仿宋"/>
                <w:color w:val="auto"/>
                <w:sz w:val="24"/>
                <w:szCs w:val="24"/>
                <w:highlight w:val="none"/>
              </w:rPr>
            </w:pPr>
          </w:p>
        </w:tc>
      </w:tr>
    </w:tbl>
    <w:p w14:paraId="14F0A952">
      <w:pPr>
        <w:snapToGrid/>
        <w:spacing w:line="360" w:lineRule="auto"/>
        <w:rPr>
          <w:rFonts w:hint="eastAsia" w:ascii="仿宋" w:hAnsi="仿宋" w:eastAsia="仿宋" w:cs="仿宋"/>
          <w:color w:val="auto"/>
          <w:sz w:val="24"/>
          <w:szCs w:val="24"/>
          <w:highlight w:val="none"/>
          <w:u w:val="single"/>
        </w:rPr>
      </w:pPr>
    </w:p>
    <w:p w14:paraId="0A15CFB9">
      <w:pPr>
        <w:widowControl/>
        <w:snapToGrid/>
        <w:spacing w:line="360" w:lineRule="auto"/>
        <w:ind w:firstLine="0" w:firstLine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注：</w:t>
      </w:r>
      <w:r>
        <w:rPr>
          <w:rFonts w:hint="eastAsia" w:ascii="仿宋" w:hAnsi="仿宋" w:eastAsia="仿宋" w:cs="仿宋"/>
          <w:color w:val="auto"/>
          <w:kern w:val="0"/>
          <w:sz w:val="24"/>
          <w:highlight w:val="none"/>
          <w:lang w:val="en-US" w:eastAsia="zh-CN"/>
        </w:rPr>
        <w:t>供应商</w:t>
      </w:r>
      <w:r>
        <w:rPr>
          <w:rFonts w:hint="eastAsia" w:ascii="仿宋" w:hAnsi="仿宋" w:eastAsia="仿宋" w:cs="仿宋"/>
          <w:color w:val="auto"/>
          <w:kern w:val="0"/>
          <w:sz w:val="24"/>
          <w:highlight w:val="none"/>
        </w:rPr>
        <w:t>可根据本</w:t>
      </w:r>
      <w:r>
        <w:rPr>
          <w:rFonts w:hint="eastAsia" w:ascii="仿宋" w:hAnsi="仿宋" w:eastAsia="仿宋" w:cs="仿宋"/>
          <w:color w:val="auto"/>
          <w:kern w:val="0"/>
          <w:sz w:val="24"/>
          <w:highlight w:val="none"/>
          <w:lang w:val="en-US" w:eastAsia="zh-CN"/>
        </w:rPr>
        <w:t>竞争性谈判</w:t>
      </w:r>
      <w:r>
        <w:rPr>
          <w:rFonts w:hint="eastAsia" w:ascii="仿宋" w:hAnsi="仿宋" w:eastAsia="仿宋" w:cs="仿宋"/>
          <w:color w:val="auto"/>
          <w:kern w:val="0"/>
          <w:sz w:val="24"/>
          <w:highlight w:val="none"/>
        </w:rPr>
        <w:t>文件中商务要求编制此表，在此表中客观真实的做出</w:t>
      </w:r>
      <w:r>
        <w:rPr>
          <w:rFonts w:hint="eastAsia" w:ascii="仿宋" w:hAnsi="仿宋" w:eastAsia="仿宋" w:cs="仿宋"/>
          <w:color w:val="auto"/>
          <w:kern w:val="0"/>
          <w:sz w:val="24"/>
          <w:highlight w:val="none"/>
          <w:lang w:val="en-US" w:eastAsia="zh-CN"/>
        </w:rPr>
        <w:t>逐条</w:t>
      </w:r>
      <w:r>
        <w:rPr>
          <w:rFonts w:hint="eastAsia" w:ascii="仿宋" w:hAnsi="仿宋" w:eastAsia="仿宋" w:cs="仿宋"/>
          <w:color w:val="auto"/>
          <w:kern w:val="0"/>
          <w:sz w:val="24"/>
          <w:highlight w:val="none"/>
        </w:rPr>
        <w:t>响应，并根据响应情况在偏离情况中填写“无偏离”“负偏离”“正偏离”</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如未逐条响应，按无效响应处理</w:t>
      </w:r>
      <w:r>
        <w:rPr>
          <w:rFonts w:hint="eastAsia" w:ascii="仿宋" w:hAnsi="仿宋" w:eastAsia="仿宋" w:cs="仿宋"/>
          <w:color w:val="auto"/>
          <w:kern w:val="0"/>
          <w:sz w:val="24"/>
          <w:highlight w:val="none"/>
        </w:rPr>
        <w:t>。</w:t>
      </w:r>
    </w:p>
    <w:p w14:paraId="2533FB42">
      <w:pPr>
        <w:widowControl/>
        <w:snapToGrid w:val="0"/>
        <w:spacing w:line="360" w:lineRule="auto"/>
        <w:jc w:val="left"/>
        <w:rPr>
          <w:rFonts w:hint="eastAsia" w:ascii="仿宋" w:hAnsi="仿宋" w:eastAsia="仿宋" w:cs="仿宋"/>
          <w:color w:val="auto"/>
          <w:kern w:val="0"/>
          <w:sz w:val="24"/>
          <w:szCs w:val="24"/>
          <w:highlight w:val="none"/>
        </w:rPr>
      </w:pPr>
    </w:p>
    <w:p w14:paraId="549CF4F8">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szCs w:val="24"/>
          <w:highlight w:val="none"/>
        </w:rPr>
        <w:t>供应商名称：</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(盖章)</w:t>
      </w:r>
    </w:p>
    <w:p w14:paraId="551C4839">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highlight w:val="none"/>
          <w:lang w:eastAsia="zh-CN"/>
        </w:rPr>
        <w:t>法定代表人或供应商授权代表</w:t>
      </w:r>
      <w:r>
        <w:rPr>
          <w:rFonts w:hint="eastAsia" w:ascii="仿宋" w:hAnsi="仿宋" w:eastAsia="仿宋" w:cs="仿宋"/>
          <w:color w:val="auto"/>
          <w:spacing w:val="0"/>
          <w:kern w:val="21"/>
          <w:sz w:val="24"/>
          <w:szCs w:val="24"/>
          <w:highlight w:val="none"/>
        </w:rPr>
        <w:t>：</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(签字或盖章)</w:t>
      </w:r>
    </w:p>
    <w:p w14:paraId="5920FBE0">
      <w:pPr>
        <w:keepNext w:val="0"/>
        <w:keepLines w:val="0"/>
        <w:pageBreakBefore w:val="0"/>
        <w:widowControl/>
        <w:tabs>
          <w:tab w:val="left" w:pos="567"/>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highlight w:val="none"/>
        </w:rPr>
      </w:pPr>
      <w:r>
        <w:rPr>
          <w:rFonts w:hint="eastAsia" w:ascii="仿宋" w:hAnsi="仿宋" w:eastAsia="仿宋" w:cs="仿宋"/>
          <w:color w:val="auto"/>
          <w:spacing w:val="0"/>
          <w:kern w:val="21"/>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p>
    <w:p w14:paraId="2D4A9511">
      <w:pPr>
        <w:pStyle w:val="17"/>
        <w:rPr>
          <w:rFonts w:hint="eastAsia" w:ascii="仿宋" w:hAnsi="仿宋" w:eastAsia="仿宋" w:cs="仿宋"/>
          <w:b/>
          <w:color w:val="auto"/>
          <w:highlight w:val="none"/>
        </w:rPr>
      </w:pPr>
    </w:p>
    <w:p w14:paraId="16C4DED2">
      <w:pPr>
        <w:widowControl/>
        <w:tabs>
          <w:tab w:val="left" w:pos="567"/>
        </w:tabs>
        <w:snapToGrid w:val="0"/>
        <w:spacing w:line="360" w:lineRule="auto"/>
        <w:jc w:val="left"/>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lang w:val="en-US" w:eastAsia="zh-CN"/>
        </w:rPr>
        <w:t>8</w:t>
      </w:r>
      <w:r>
        <w:rPr>
          <w:rFonts w:hint="eastAsia" w:ascii="仿宋" w:hAnsi="仿宋" w:eastAsia="仿宋" w:cs="仿宋"/>
          <w:b/>
          <w:color w:val="auto"/>
          <w:kern w:val="0"/>
          <w:sz w:val="24"/>
          <w:szCs w:val="24"/>
          <w:highlight w:val="none"/>
        </w:rPr>
        <w:t>．技术偏离表格式</w:t>
      </w:r>
    </w:p>
    <w:p w14:paraId="50C59712">
      <w:pPr>
        <w:widowControl/>
        <w:snapToGrid w:val="0"/>
        <w:spacing w:line="360" w:lineRule="auto"/>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技术偏离表</w:t>
      </w:r>
    </w:p>
    <w:p w14:paraId="4F5EF90C">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r>
        <w:rPr>
          <w:rFonts w:hint="eastAsia" w:ascii="仿宋" w:hAnsi="仿宋" w:eastAsia="仿宋" w:cs="仿宋"/>
          <w:color w:val="auto"/>
          <w:spacing w:val="0"/>
          <w:kern w:val="21"/>
          <w:sz w:val="24"/>
          <w:szCs w:val="24"/>
          <w:highlight w:val="none"/>
          <w:u w:val="single"/>
        </w:rPr>
        <w:t xml:space="preserve">                    </w:t>
      </w:r>
    </w:p>
    <w:p w14:paraId="5862FC7B">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项目编号：</w:t>
      </w:r>
      <w:r>
        <w:rPr>
          <w:rFonts w:hint="eastAsia" w:ascii="仿宋" w:hAnsi="仿宋" w:eastAsia="仿宋" w:cs="仿宋"/>
          <w:color w:val="auto"/>
          <w:spacing w:val="0"/>
          <w:kern w:val="21"/>
          <w:sz w:val="24"/>
          <w:szCs w:val="24"/>
          <w:highlight w:val="none"/>
          <w:u w:val="single"/>
        </w:rPr>
        <w:t xml:space="preserve">                    </w:t>
      </w:r>
    </w:p>
    <w:p w14:paraId="3BE44253">
      <w:pPr>
        <w:widowControl/>
        <w:snapToGrid w:val="0"/>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采购编号</w:t>
      </w:r>
      <w:r>
        <w:rPr>
          <w:rFonts w:hint="eastAsia" w:ascii="仿宋" w:hAnsi="仿宋" w:eastAsia="仿宋" w:cs="仿宋"/>
          <w:color w:val="auto"/>
          <w:kern w:val="0"/>
          <w:sz w:val="24"/>
          <w:szCs w:val="24"/>
          <w:highlight w:val="none"/>
        </w:rPr>
        <w:t>：</w:t>
      </w:r>
      <w:r>
        <w:rPr>
          <w:rFonts w:hint="eastAsia" w:ascii="仿宋" w:hAnsi="仿宋" w:eastAsia="仿宋" w:cs="仿宋"/>
          <w:color w:val="auto"/>
          <w:spacing w:val="0"/>
          <w:kern w:val="21"/>
          <w:sz w:val="24"/>
          <w:szCs w:val="24"/>
          <w:highlight w:val="none"/>
          <w:u w:val="single"/>
        </w:rPr>
        <w:t xml:space="preserve">                    </w:t>
      </w:r>
    </w:p>
    <w:tbl>
      <w:tblPr>
        <w:tblStyle w:val="20"/>
        <w:tblW w:w="8910" w:type="dxa"/>
        <w:tblInd w:w="-1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75"/>
        <w:gridCol w:w="1586"/>
        <w:gridCol w:w="720"/>
        <w:gridCol w:w="642"/>
        <w:gridCol w:w="1694"/>
        <w:gridCol w:w="1605"/>
        <w:gridCol w:w="1148"/>
        <w:gridCol w:w="840"/>
      </w:tblGrid>
      <w:tr w14:paraId="3B36D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675" w:type="dxa"/>
            <w:tcBorders>
              <w:top w:val="single" w:color="000000" w:sz="6" w:space="0"/>
              <w:left w:val="single" w:color="000000" w:sz="6" w:space="0"/>
              <w:bottom w:val="single" w:color="000000" w:sz="6" w:space="0"/>
              <w:right w:val="single" w:color="auto" w:sz="4" w:space="0"/>
            </w:tcBorders>
            <w:noWrap w:val="0"/>
            <w:vAlign w:val="center"/>
          </w:tcPr>
          <w:p w14:paraId="7F8AAF41">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序号</w:t>
            </w:r>
          </w:p>
        </w:tc>
        <w:tc>
          <w:tcPr>
            <w:tcW w:w="1586" w:type="dxa"/>
            <w:tcBorders>
              <w:top w:val="single" w:color="000000" w:sz="6" w:space="0"/>
              <w:left w:val="single" w:color="auto" w:sz="4" w:space="0"/>
              <w:bottom w:val="single" w:color="000000" w:sz="6" w:space="0"/>
              <w:right w:val="single" w:color="auto" w:sz="4" w:space="0"/>
            </w:tcBorders>
            <w:noWrap w:val="0"/>
            <w:vAlign w:val="center"/>
          </w:tcPr>
          <w:p w14:paraId="6B510319">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货物名称</w:t>
            </w:r>
          </w:p>
        </w:tc>
        <w:tc>
          <w:tcPr>
            <w:tcW w:w="720" w:type="dxa"/>
            <w:tcBorders>
              <w:top w:val="single" w:color="000000" w:sz="6" w:space="0"/>
              <w:left w:val="single" w:color="auto" w:sz="4" w:space="0"/>
              <w:bottom w:val="single" w:color="000000" w:sz="6" w:space="0"/>
              <w:right w:val="single" w:color="000000" w:sz="6" w:space="0"/>
            </w:tcBorders>
            <w:noWrap w:val="0"/>
            <w:vAlign w:val="center"/>
          </w:tcPr>
          <w:p w14:paraId="3B8FBE4B">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tc>
        <w:tc>
          <w:tcPr>
            <w:tcW w:w="642" w:type="dxa"/>
            <w:tcBorders>
              <w:top w:val="single" w:color="000000" w:sz="6" w:space="0"/>
              <w:left w:val="single" w:color="000000" w:sz="6" w:space="0"/>
              <w:bottom w:val="single" w:color="000000" w:sz="6" w:space="0"/>
              <w:right w:val="single" w:color="000000" w:sz="6" w:space="0"/>
            </w:tcBorders>
            <w:noWrap w:val="0"/>
            <w:vAlign w:val="center"/>
          </w:tcPr>
          <w:p w14:paraId="00157680">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单位</w:t>
            </w:r>
          </w:p>
        </w:tc>
        <w:tc>
          <w:tcPr>
            <w:tcW w:w="1694" w:type="dxa"/>
            <w:tcBorders>
              <w:top w:val="single" w:color="000000" w:sz="6" w:space="0"/>
              <w:left w:val="single" w:color="000000" w:sz="6" w:space="0"/>
              <w:bottom w:val="single" w:color="000000" w:sz="6" w:space="0"/>
              <w:right w:val="single" w:color="000000" w:sz="6" w:space="0"/>
            </w:tcBorders>
            <w:noWrap w:val="0"/>
            <w:vAlign w:val="center"/>
          </w:tcPr>
          <w:p w14:paraId="0224CD03">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谈判文件技术规范、要求</w:t>
            </w:r>
          </w:p>
        </w:tc>
        <w:tc>
          <w:tcPr>
            <w:tcW w:w="1605" w:type="dxa"/>
            <w:tcBorders>
              <w:top w:val="single" w:color="000000" w:sz="6" w:space="0"/>
              <w:left w:val="single" w:color="000000" w:sz="6" w:space="0"/>
              <w:bottom w:val="single" w:color="000000" w:sz="6" w:space="0"/>
              <w:right w:val="single" w:color="000000" w:sz="6" w:space="0"/>
            </w:tcBorders>
            <w:noWrap w:val="0"/>
            <w:vAlign w:val="center"/>
          </w:tcPr>
          <w:p w14:paraId="461C25E5">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响应文件对应规范</w:t>
            </w:r>
          </w:p>
        </w:tc>
        <w:tc>
          <w:tcPr>
            <w:tcW w:w="1148" w:type="dxa"/>
            <w:tcBorders>
              <w:top w:val="single" w:color="000000" w:sz="6" w:space="0"/>
              <w:left w:val="single" w:color="000000" w:sz="6" w:space="0"/>
              <w:bottom w:val="single" w:color="000000" w:sz="6" w:space="0"/>
              <w:right w:val="single" w:color="000000" w:sz="6" w:space="0"/>
            </w:tcBorders>
            <w:noWrap w:val="0"/>
            <w:vAlign w:val="center"/>
          </w:tcPr>
          <w:p w14:paraId="7961778A">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偏离情况</w:t>
            </w:r>
          </w:p>
        </w:tc>
        <w:tc>
          <w:tcPr>
            <w:tcW w:w="840" w:type="dxa"/>
            <w:tcBorders>
              <w:top w:val="single" w:color="000000" w:sz="6" w:space="0"/>
              <w:left w:val="single" w:color="000000" w:sz="6" w:space="0"/>
              <w:bottom w:val="single" w:color="000000" w:sz="6" w:space="0"/>
              <w:right w:val="single" w:color="000000" w:sz="6" w:space="0"/>
            </w:tcBorders>
            <w:noWrap w:val="0"/>
            <w:vAlign w:val="center"/>
          </w:tcPr>
          <w:p w14:paraId="01B30242">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备注</w:t>
            </w:r>
          </w:p>
        </w:tc>
      </w:tr>
      <w:tr w14:paraId="65F6F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675" w:type="dxa"/>
            <w:tcBorders>
              <w:top w:val="single" w:color="000000" w:sz="6" w:space="0"/>
              <w:left w:val="single" w:color="000000" w:sz="6" w:space="0"/>
              <w:bottom w:val="single" w:color="000000" w:sz="6" w:space="0"/>
              <w:right w:val="single" w:color="auto" w:sz="4" w:space="0"/>
            </w:tcBorders>
            <w:noWrap w:val="0"/>
            <w:vAlign w:val="center"/>
          </w:tcPr>
          <w:p w14:paraId="6A50EBE2">
            <w:pPr>
              <w:widowControl/>
              <w:snapToGrid w:val="0"/>
              <w:spacing w:line="360" w:lineRule="auto"/>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1586" w:type="dxa"/>
            <w:tcBorders>
              <w:top w:val="single" w:color="000000" w:sz="6" w:space="0"/>
              <w:left w:val="single" w:color="auto" w:sz="4" w:space="0"/>
              <w:bottom w:val="single" w:color="000000" w:sz="6" w:space="0"/>
              <w:right w:val="single" w:color="auto" w:sz="4" w:space="0"/>
            </w:tcBorders>
            <w:noWrap w:val="0"/>
            <w:vAlign w:val="center"/>
          </w:tcPr>
          <w:p w14:paraId="1C3D0295">
            <w:pPr>
              <w:widowControl/>
              <w:snapToGrid w:val="0"/>
              <w:spacing w:line="360" w:lineRule="auto"/>
              <w:jc w:val="center"/>
              <w:rPr>
                <w:rFonts w:hint="eastAsia" w:ascii="仿宋" w:hAnsi="仿宋" w:eastAsia="仿宋" w:cs="仿宋"/>
                <w:color w:val="auto"/>
                <w:kern w:val="0"/>
                <w:sz w:val="24"/>
                <w:szCs w:val="24"/>
                <w:highlight w:val="none"/>
              </w:rPr>
            </w:pPr>
          </w:p>
        </w:tc>
        <w:tc>
          <w:tcPr>
            <w:tcW w:w="720" w:type="dxa"/>
            <w:tcBorders>
              <w:top w:val="single" w:color="000000" w:sz="6" w:space="0"/>
              <w:left w:val="single" w:color="auto" w:sz="4" w:space="0"/>
              <w:bottom w:val="single" w:color="000000" w:sz="6" w:space="0"/>
              <w:right w:val="single" w:color="000000" w:sz="6" w:space="0"/>
            </w:tcBorders>
            <w:noWrap w:val="0"/>
            <w:vAlign w:val="center"/>
          </w:tcPr>
          <w:p w14:paraId="35A829E0">
            <w:pPr>
              <w:widowControl/>
              <w:snapToGrid w:val="0"/>
              <w:spacing w:line="360" w:lineRule="auto"/>
              <w:jc w:val="center"/>
              <w:rPr>
                <w:rFonts w:hint="eastAsia" w:ascii="仿宋" w:hAnsi="仿宋" w:eastAsia="仿宋" w:cs="仿宋"/>
                <w:color w:val="auto"/>
                <w:kern w:val="0"/>
                <w:sz w:val="24"/>
                <w:szCs w:val="24"/>
                <w:highlight w:val="none"/>
              </w:rPr>
            </w:pPr>
          </w:p>
        </w:tc>
        <w:tc>
          <w:tcPr>
            <w:tcW w:w="642" w:type="dxa"/>
            <w:tcBorders>
              <w:top w:val="single" w:color="000000" w:sz="6" w:space="0"/>
              <w:left w:val="single" w:color="000000" w:sz="6" w:space="0"/>
              <w:bottom w:val="single" w:color="000000" w:sz="6" w:space="0"/>
              <w:right w:val="single" w:color="000000" w:sz="6" w:space="0"/>
            </w:tcBorders>
            <w:noWrap w:val="0"/>
            <w:vAlign w:val="center"/>
          </w:tcPr>
          <w:p w14:paraId="10488858">
            <w:pPr>
              <w:widowControl/>
              <w:snapToGrid w:val="0"/>
              <w:spacing w:line="360" w:lineRule="auto"/>
              <w:jc w:val="center"/>
              <w:rPr>
                <w:rFonts w:hint="eastAsia" w:ascii="仿宋" w:hAnsi="仿宋" w:eastAsia="仿宋" w:cs="仿宋"/>
                <w:color w:val="auto"/>
                <w:kern w:val="0"/>
                <w:sz w:val="24"/>
                <w:szCs w:val="24"/>
                <w:highlight w:val="none"/>
              </w:rPr>
            </w:pPr>
          </w:p>
        </w:tc>
        <w:tc>
          <w:tcPr>
            <w:tcW w:w="1694" w:type="dxa"/>
            <w:tcBorders>
              <w:top w:val="single" w:color="000000" w:sz="6" w:space="0"/>
              <w:left w:val="single" w:color="000000" w:sz="6" w:space="0"/>
              <w:bottom w:val="single" w:color="000000" w:sz="6" w:space="0"/>
              <w:right w:val="single" w:color="000000" w:sz="6" w:space="0"/>
            </w:tcBorders>
            <w:noWrap w:val="0"/>
            <w:vAlign w:val="center"/>
          </w:tcPr>
          <w:p w14:paraId="476B12A6">
            <w:pPr>
              <w:widowControl/>
              <w:snapToGrid w:val="0"/>
              <w:spacing w:line="360" w:lineRule="auto"/>
              <w:jc w:val="center"/>
              <w:rPr>
                <w:rFonts w:hint="eastAsia" w:ascii="仿宋" w:hAnsi="仿宋" w:eastAsia="仿宋" w:cs="仿宋"/>
                <w:color w:val="auto"/>
                <w:kern w:val="0"/>
                <w:sz w:val="24"/>
                <w:szCs w:val="24"/>
                <w:highlight w:val="none"/>
              </w:rPr>
            </w:pPr>
          </w:p>
        </w:tc>
        <w:tc>
          <w:tcPr>
            <w:tcW w:w="1605" w:type="dxa"/>
            <w:tcBorders>
              <w:top w:val="single" w:color="000000" w:sz="6" w:space="0"/>
              <w:left w:val="single" w:color="000000" w:sz="6" w:space="0"/>
              <w:bottom w:val="single" w:color="000000" w:sz="6" w:space="0"/>
              <w:right w:val="single" w:color="000000" w:sz="6" w:space="0"/>
            </w:tcBorders>
            <w:noWrap w:val="0"/>
            <w:vAlign w:val="center"/>
          </w:tcPr>
          <w:p w14:paraId="3FFD042D">
            <w:pPr>
              <w:widowControl/>
              <w:snapToGrid w:val="0"/>
              <w:spacing w:line="360" w:lineRule="auto"/>
              <w:jc w:val="center"/>
              <w:rPr>
                <w:rFonts w:hint="eastAsia" w:ascii="仿宋" w:hAnsi="仿宋" w:eastAsia="仿宋" w:cs="仿宋"/>
                <w:color w:val="auto"/>
                <w:kern w:val="0"/>
                <w:sz w:val="24"/>
                <w:szCs w:val="24"/>
                <w:highlight w:val="none"/>
              </w:rPr>
            </w:pPr>
          </w:p>
        </w:tc>
        <w:tc>
          <w:tcPr>
            <w:tcW w:w="1148" w:type="dxa"/>
            <w:tcBorders>
              <w:top w:val="single" w:color="000000" w:sz="6" w:space="0"/>
              <w:left w:val="single" w:color="000000" w:sz="6" w:space="0"/>
              <w:bottom w:val="single" w:color="000000" w:sz="6" w:space="0"/>
              <w:right w:val="single" w:color="000000" w:sz="6" w:space="0"/>
            </w:tcBorders>
            <w:noWrap w:val="0"/>
            <w:vAlign w:val="center"/>
          </w:tcPr>
          <w:p w14:paraId="51C37B76">
            <w:pPr>
              <w:widowControl/>
              <w:snapToGrid w:val="0"/>
              <w:spacing w:line="360" w:lineRule="auto"/>
              <w:jc w:val="center"/>
              <w:rPr>
                <w:rFonts w:hint="eastAsia" w:ascii="仿宋" w:hAnsi="仿宋" w:eastAsia="仿宋" w:cs="仿宋"/>
                <w:color w:val="auto"/>
                <w:kern w:val="0"/>
                <w:sz w:val="24"/>
                <w:szCs w:val="24"/>
                <w:highlight w:val="none"/>
              </w:rPr>
            </w:pPr>
          </w:p>
        </w:tc>
        <w:tc>
          <w:tcPr>
            <w:tcW w:w="840" w:type="dxa"/>
            <w:tcBorders>
              <w:top w:val="single" w:color="000000" w:sz="6" w:space="0"/>
              <w:left w:val="single" w:color="000000" w:sz="6" w:space="0"/>
              <w:bottom w:val="single" w:color="000000" w:sz="6" w:space="0"/>
              <w:right w:val="single" w:color="000000" w:sz="6" w:space="0"/>
            </w:tcBorders>
            <w:noWrap w:val="0"/>
            <w:vAlign w:val="center"/>
          </w:tcPr>
          <w:p w14:paraId="1EE67384">
            <w:pPr>
              <w:widowControl/>
              <w:snapToGrid w:val="0"/>
              <w:spacing w:line="360" w:lineRule="auto"/>
              <w:jc w:val="center"/>
              <w:rPr>
                <w:rFonts w:hint="eastAsia" w:ascii="仿宋" w:hAnsi="仿宋" w:eastAsia="仿宋" w:cs="仿宋"/>
                <w:color w:val="auto"/>
                <w:kern w:val="0"/>
                <w:sz w:val="24"/>
                <w:szCs w:val="24"/>
                <w:highlight w:val="none"/>
              </w:rPr>
            </w:pPr>
          </w:p>
        </w:tc>
      </w:tr>
      <w:tr w14:paraId="57B9E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675" w:type="dxa"/>
            <w:tcBorders>
              <w:top w:val="single" w:color="000000" w:sz="6" w:space="0"/>
              <w:left w:val="single" w:color="000000" w:sz="6" w:space="0"/>
              <w:bottom w:val="single" w:color="000000" w:sz="6" w:space="0"/>
              <w:right w:val="single" w:color="auto" w:sz="4" w:space="0"/>
            </w:tcBorders>
            <w:noWrap w:val="0"/>
            <w:vAlign w:val="center"/>
          </w:tcPr>
          <w:p w14:paraId="36B8DA1D">
            <w:pPr>
              <w:widowControl/>
              <w:snapToGrid w:val="0"/>
              <w:spacing w:line="360" w:lineRule="auto"/>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w:t>
            </w:r>
          </w:p>
        </w:tc>
        <w:tc>
          <w:tcPr>
            <w:tcW w:w="1586" w:type="dxa"/>
            <w:tcBorders>
              <w:top w:val="single" w:color="000000" w:sz="6" w:space="0"/>
              <w:left w:val="single" w:color="auto" w:sz="4" w:space="0"/>
              <w:bottom w:val="single" w:color="000000" w:sz="6" w:space="0"/>
              <w:right w:val="single" w:color="auto" w:sz="4" w:space="0"/>
            </w:tcBorders>
            <w:noWrap w:val="0"/>
            <w:vAlign w:val="center"/>
          </w:tcPr>
          <w:p w14:paraId="3E92F7E6">
            <w:pPr>
              <w:widowControl/>
              <w:snapToGrid w:val="0"/>
              <w:spacing w:line="360" w:lineRule="auto"/>
              <w:jc w:val="center"/>
              <w:rPr>
                <w:rFonts w:hint="eastAsia" w:ascii="仿宋" w:hAnsi="仿宋" w:eastAsia="仿宋" w:cs="仿宋"/>
                <w:color w:val="auto"/>
                <w:kern w:val="0"/>
                <w:sz w:val="24"/>
                <w:szCs w:val="24"/>
                <w:highlight w:val="none"/>
              </w:rPr>
            </w:pPr>
          </w:p>
        </w:tc>
        <w:tc>
          <w:tcPr>
            <w:tcW w:w="720" w:type="dxa"/>
            <w:tcBorders>
              <w:top w:val="single" w:color="000000" w:sz="6" w:space="0"/>
              <w:left w:val="single" w:color="auto" w:sz="4" w:space="0"/>
              <w:bottom w:val="single" w:color="000000" w:sz="6" w:space="0"/>
              <w:right w:val="single" w:color="000000" w:sz="6" w:space="0"/>
            </w:tcBorders>
            <w:noWrap w:val="0"/>
            <w:vAlign w:val="center"/>
          </w:tcPr>
          <w:p w14:paraId="7AFB8DA8">
            <w:pPr>
              <w:widowControl/>
              <w:snapToGrid w:val="0"/>
              <w:spacing w:line="360" w:lineRule="auto"/>
              <w:jc w:val="center"/>
              <w:rPr>
                <w:rFonts w:hint="eastAsia" w:ascii="仿宋" w:hAnsi="仿宋" w:eastAsia="仿宋" w:cs="仿宋"/>
                <w:color w:val="auto"/>
                <w:kern w:val="0"/>
                <w:sz w:val="24"/>
                <w:szCs w:val="24"/>
                <w:highlight w:val="none"/>
              </w:rPr>
            </w:pPr>
          </w:p>
        </w:tc>
        <w:tc>
          <w:tcPr>
            <w:tcW w:w="642" w:type="dxa"/>
            <w:tcBorders>
              <w:top w:val="single" w:color="000000" w:sz="6" w:space="0"/>
              <w:left w:val="single" w:color="000000" w:sz="6" w:space="0"/>
              <w:bottom w:val="single" w:color="000000" w:sz="6" w:space="0"/>
              <w:right w:val="single" w:color="000000" w:sz="6" w:space="0"/>
            </w:tcBorders>
            <w:noWrap w:val="0"/>
            <w:vAlign w:val="center"/>
          </w:tcPr>
          <w:p w14:paraId="7073C9D1">
            <w:pPr>
              <w:widowControl/>
              <w:snapToGrid w:val="0"/>
              <w:spacing w:line="360" w:lineRule="auto"/>
              <w:jc w:val="center"/>
              <w:rPr>
                <w:rFonts w:hint="eastAsia" w:ascii="仿宋" w:hAnsi="仿宋" w:eastAsia="仿宋" w:cs="仿宋"/>
                <w:color w:val="auto"/>
                <w:kern w:val="0"/>
                <w:sz w:val="24"/>
                <w:szCs w:val="24"/>
                <w:highlight w:val="none"/>
              </w:rPr>
            </w:pPr>
          </w:p>
        </w:tc>
        <w:tc>
          <w:tcPr>
            <w:tcW w:w="1694" w:type="dxa"/>
            <w:tcBorders>
              <w:top w:val="single" w:color="000000" w:sz="6" w:space="0"/>
              <w:left w:val="single" w:color="000000" w:sz="6" w:space="0"/>
              <w:bottom w:val="single" w:color="000000" w:sz="6" w:space="0"/>
              <w:right w:val="single" w:color="000000" w:sz="6" w:space="0"/>
            </w:tcBorders>
            <w:noWrap w:val="0"/>
            <w:vAlign w:val="center"/>
          </w:tcPr>
          <w:p w14:paraId="58425BD2">
            <w:pPr>
              <w:widowControl/>
              <w:snapToGrid w:val="0"/>
              <w:spacing w:line="360" w:lineRule="auto"/>
              <w:jc w:val="center"/>
              <w:rPr>
                <w:rFonts w:hint="eastAsia" w:ascii="仿宋" w:hAnsi="仿宋" w:eastAsia="仿宋" w:cs="仿宋"/>
                <w:color w:val="auto"/>
                <w:kern w:val="0"/>
                <w:sz w:val="24"/>
                <w:szCs w:val="24"/>
                <w:highlight w:val="none"/>
              </w:rPr>
            </w:pPr>
          </w:p>
        </w:tc>
        <w:tc>
          <w:tcPr>
            <w:tcW w:w="1605" w:type="dxa"/>
            <w:tcBorders>
              <w:top w:val="single" w:color="000000" w:sz="6" w:space="0"/>
              <w:left w:val="single" w:color="000000" w:sz="6" w:space="0"/>
              <w:bottom w:val="single" w:color="000000" w:sz="6" w:space="0"/>
              <w:right w:val="single" w:color="000000" w:sz="6" w:space="0"/>
            </w:tcBorders>
            <w:noWrap w:val="0"/>
            <w:vAlign w:val="center"/>
          </w:tcPr>
          <w:p w14:paraId="1014914F">
            <w:pPr>
              <w:widowControl/>
              <w:snapToGrid w:val="0"/>
              <w:spacing w:line="360" w:lineRule="auto"/>
              <w:jc w:val="center"/>
              <w:rPr>
                <w:rFonts w:hint="eastAsia" w:ascii="仿宋" w:hAnsi="仿宋" w:eastAsia="仿宋" w:cs="仿宋"/>
                <w:color w:val="auto"/>
                <w:kern w:val="0"/>
                <w:sz w:val="24"/>
                <w:szCs w:val="24"/>
                <w:highlight w:val="none"/>
              </w:rPr>
            </w:pPr>
          </w:p>
        </w:tc>
        <w:tc>
          <w:tcPr>
            <w:tcW w:w="1148" w:type="dxa"/>
            <w:tcBorders>
              <w:top w:val="single" w:color="000000" w:sz="6" w:space="0"/>
              <w:left w:val="single" w:color="000000" w:sz="6" w:space="0"/>
              <w:bottom w:val="single" w:color="000000" w:sz="6" w:space="0"/>
              <w:right w:val="single" w:color="000000" w:sz="6" w:space="0"/>
            </w:tcBorders>
            <w:noWrap w:val="0"/>
            <w:vAlign w:val="center"/>
          </w:tcPr>
          <w:p w14:paraId="2FA89479">
            <w:pPr>
              <w:widowControl/>
              <w:snapToGrid w:val="0"/>
              <w:spacing w:line="360" w:lineRule="auto"/>
              <w:jc w:val="center"/>
              <w:rPr>
                <w:rFonts w:hint="eastAsia" w:ascii="仿宋" w:hAnsi="仿宋" w:eastAsia="仿宋" w:cs="仿宋"/>
                <w:color w:val="auto"/>
                <w:kern w:val="0"/>
                <w:sz w:val="24"/>
                <w:szCs w:val="24"/>
                <w:highlight w:val="none"/>
              </w:rPr>
            </w:pPr>
          </w:p>
        </w:tc>
        <w:tc>
          <w:tcPr>
            <w:tcW w:w="840" w:type="dxa"/>
            <w:tcBorders>
              <w:top w:val="single" w:color="000000" w:sz="6" w:space="0"/>
              <w:left w:val="single" w:color="000000" w:sz="6" w:space="0"/>
              <w:bottom w:val="single" w:color="000000" w:sz="6" w:space="0"/>
              <w:right w:val="single" w:color="000000" w:sz="6" w:space="0"/>
            </w:tcBorders>
            <w:noWrap w:val="0"/>
            <w:vAlign w:val="center"/>
          </w:tcPr>
          <w:p w14:paraId="185BE53D">
            <w:pPr>
              <w:widowControl/>
              <w:snapToGrid w:val="0"/>
              <w:spacing w:line="360" w:lineRule="auto"/>
              <w:jc w:val="center"/>
              <w:rPr>
                <w:rFonts w:hint="eastAsia" w:ascii="仿宋" w:hAnsi="仿宋" w:eastAsia="仿宋" w:cs="仿宋"/>
                <w:color w:val="auto"/>
                <w:kern w:val="0"/>
                <w:sz w:val="24"/>
                <w:szCs w:val="24"/>
                <w:highlight w:val="none"/>
              </w:rPr>
            </w:pPr>
          </w:p>
        </w:tc>
      </w:tr>
      <w:tr w14:paraId="05B45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675" w:type="dxa"/>
            <w:tcBorders>
              <w:top w:val="single" w:color="000000" w:sz="6" w:space="0"/>
              <w:left w:val="single" w:color="000000" w:sz="6" w:space="0"/>
              <w:bottom w:val="single" w:color="000000" w:sz="6" w:space="0"/>
              <w:right w:val="single" w:color="auto" w:sz="4" w:space="0"/>
            </w:tcBorders>
            <w:noWrap w:val="0"/>
            <w:vAlign w:val="center"/>
          </w:tcPr>
          <w:p w14:paraId="0F7921C6">
            <w:pPr>
              <w:widowControl/>
              <w:snapToGrid w:val="0"/>
              <w:spacing w:line="360" w:lineRule="auto"/>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p>
        </w:tc>
        <w:tc>
          <w:tcPr>
            <w:tcW w:w="1586" w:type="dxa"/>
            <w:tcBorders>
              <w:top w:val="single" w:color="000000" w:sz="6" w:space="0"/>
              <w:left w:val="single" w:color="auto" w:sz="4" w:space="0"/>
              <w:bottom w:val="single" w:color="000000" w:sz="6" w:space="0"/>
              <w:right w:val="single" w:color="auto" w:sz="4" w:space="0"/>
            </w:tcBorders>
            <w:noWrap w:val="0"/>
            <w:vAlign w:val="center"/>
          </w:tcPr>
          <w:p w14:paraId="405591C3">
            <w:pPr>
              <w:widowControl/>
              <w:snapToGrid w:val="0"/>
              <w:spacing w:line="360" w:lineRule="auto"/>
              <w:jc w:val="center"/>
              <w:rPr>
                <w:rFonts w:hint="eastAsia" w:ascii="仿宋" w:hAnsi="仿宋" w:eastAsia="仿宋" w:cs="仿宋"/>
                <w:color w:val="auto"/>
                <w:kern w:val="0"/>
                <w:sz w:val="24"/>
                <w:szCs w:val="24"/>
                <w:highlight w:val="none"/>
              </w:rPr>
            </w:pPr>
          </w:p>
        </w:tc>
        <w:tc>
          <w:tcPr>
            <w:tcW w:w="720" w:type="dxa"/>
            <w:tcBorders>
              <w:top w:val="single" w:color="000000" w:sz="6" w:space="0"/>
              <w:left w:val="single" w:color="auto" w:sz="4" w:space="0"/>
              <w:bottom w:val="single" w:color="000000" w:sz="6" w:space="0"/>
              <w:right w:val="single" w:color="000000" w:sz="6" w:space="0"/>
            </w:tcBorders>
            <w:noWrap w:val="0"/>
            <w:vAlign w:val="center"/>
          </w:tcPr>
          <w:p w14:paraId="52A34272">
            <w:pPr>
              <w:widowControl/>
              <w:snapToGrid w:val="0"/>
              <w:spacing w:line="360" w:lineRule="auto"/>
              <w:jc w:val="center"/>
              <w:rPr>
                <w:rFonts w:hint="eastAsia" w:ascii="仿宋" w:hAnsi="仿宋" w:eastAsia="仿宋" w:cs="仿宋"/>
                <w:color w:val="auto"/>
                <w:kern w:val="0"/>
                <w:sz w:val="24"/>
                <w:szCs w:val="24"/>
                <w:highlight w:val="none"/>
              </w:rPr>
            </w:pPr>
          </w:p>
        </w:tc>
        <w:tc>
          <w:tcPr>
            <w:tcW w:w="642" w:type="dxa"/>
            <w:tcBorders>
              <w:top w:val="single" w:color="000000" w:sz="6" w:space="0"/>
              <w:left w:val="single" w:color="000000" w:sz="6" w:space="0"/>
              <w:bottom w:val="single" w:color="000000" w:sz="6" w:space="0"/>
              <w:right w:val="single" w:color="000000" w:sz="6" w:space="0"/>
            </w:tcBorders>
            <w:noWrap w:val="0"/>
            <w:vAlign w:val="center"/>
          </w:tcPr>
          <w:p w14:paraId="6DE7197A">
            <w:pPr>
              <w:widowControl/>
              <w:snapToGrid w:val="0"/>
              <w:spacing w:line="360" w:lineRule="auto"/>
              <w:jc w:val="center"/>
              <w:rPr>
                <w:rFonts w:hint="eastAsia" w:ascii="仿宋" w:hAnsi="仿宋" w:eastAsia="仿宋" w:cs="仿宋"/>
                <w:color w:val="auto"/>
                <w:kern w:val="0"/>
                <w:sz w:val="24"/>
                <w:szCs w:val="24"/>
                <w:highlight w:val="none"/>
              </w:rPr>
            </w:pPr>
          </w:p>
        </w:tc>
        <w:tc>
          <w:tcPr>
            <w:tcW w:w="1694" w:type="dxa"/>
            <w:tcBorders>
              <w:top w:val="single" w:color="000000" w:sz="6" w:space="0"/>
              <w:left w:val="single" w:color="000000" w:sz="6" w:space="0"/>
              <w:bottom w:val="single" w:color="000000" w:sz="6" w:space="0"/>
              <w:right w:val="single" w:color="000000" w:sz="6" w:space="0"/>
            </w:tcBorders>
            <w:noWrap w:val="0"/>
            <w:vAlign w:val="center"/>
          </w:tcPr>
          <w:p w14:paraId="7E242970">
            <w:pPr>
              <w:widowControl/>
              <w:snapToGrid w:val="0"/>
              <w:spacing w:line="360" w:lineRule="auto"/>
              <w:jc w:val="center"/>
              <w:rPr>
                <w:rFonts w:hint="eastAsia" w:ascii="仿宋" w:hAnsi="仿宋" w:eastAsia="仿宋" w:cs="仿宋"/>
                <w:color w:val="auto"/>
                <w:kern w:val="0"/>
                <w:sz w:val="24"/>
                <w:szCs w:val="24"/>
                <w:highlight w:val="none"/>
              </w:rPr>
            </w:pPr>
          </w:p>
        </w:tc>
        <w:tc>
          <w:tcPr>
            <w:tcW w:w="1605" w:type="dxa"/>
            <w:tcBorders>
              <w:top w:val="single" w:color="000000" w:sz="6" w:space="0"/>
              <w:left w:val="single" w:color="000000" w:sz="6" w:space="0"/>
              <w:bottom w:val="single" w:color="000000" w:sz="6" w:space="0"/>
              <w:right w:val="single" w:color="000000" w:sz="6" w:space="0"/>
            </w:tcBorders>
            <w:noWrap w:val="0"/>
            <w:vAlign w:val="center"/>
          </w:tcPr>
          <w:p w14:paraId="6585E7CF">
            <w:pPr>
              <w:widowControl/>
              <w:snapToGrid w:val="0"/>
              <w:spacing w:line="360" w:lineRule="auto"/>
              <w:jc w:val="center"/>
              <w:rPr>
                <w:rFonts w:hint="eastAsia" w:ascii="仿宋" w:hAnsi="仿宋" w:eastAsia="仿宋" w:cs="仿宋"/>
                <w:color w:val="auto"/>
                <w:kern w:val="0"/>
                <w:sz w:val="24"/>
                <w:szCs w:val="24"/>
                <w:highlight w:val="none"/>
              </w:rPr>
            </w:pPr>
          </w:p>
        </w:tc>
        <w:tc>
          <w:tcPr>
            <w:tcW w:w="1148" w:type="dxa"/>
            <w:tcBorders>
              <w:top w:val="single" w:color="000000" w:sz="6" w:space="0"/>
              <w:left w:val="single" w:color="000000" w:sz="6" w:space="0"/>
              <w:bottom w:val="single" w:color="000000" w:sz="6" w:space="0"/>
              <w:right w:val="single" w:color="000000" w:sz="6" w:space="0"/>
            </w:tcBorders>
            <w:noWrap w:val="0"/>
            <w:vAlign w:val="center"/>
          </w:tcPr>
          <w:p w14:paraId="3CCAA53F">
            <w:pPr>
              <w:widowControl/>
              <w:snapToGrid w:val="0"/>
              <w:spacing w:line="360" w:lineRule="auto"/>
              <w:jc w:val="center"/>
              <w:rPr>
                <w:rFonts w:hint="eastAsia" w:ascii="仿宋" w:hAnsi="仿宋" w:eastAsia="仿宋" w:cs="仿宋"/>
                <w:color w:val="auto"/>
                <w:kern w:val="0"/>
                <w:sz w:val="24"/>
                <w:szCs w:val="24"/>
                <w:highlight w:val="none"/>
              </w:rPr>
            </w:pPr>
          </w:p>
        </w:tc>
        <w:tc>
          <w:tcPr>
            <w:tcW w:w="840" w:type="dxa"/>
            <w:tcBorders>
              <w:top w:val="single" w:color="000000" w:sz="6" w:space="0"/>
              <w:left w:val="single" w:color="000000" w:sz="6" w:space="0"/>
              <w:bottom w:val="single" w:color="000000" w:sz="6" w:space="0"/>
              <w:right w:val="single" w:color="000000" w:sz="6" w:space="0"/>
            </w:tcBorders>
            <w:noWrap w:val="0"/>
            <w:vAlign w:val="center"/>
          </w:tcPr>
          <w:p w14:paraId="5A56D63B">
            <w:pPr>
              <w:widowControl/>
              <w:snapToGrid w:val="0"/>
              <w:spacing w:line="360" w:lineRule="auto"/>
              <w:jc w:val="center"/>
              <w:rPr>
                <w:rFonts w:hint="eastAsia" w:ascii="仿宋" w:hAnsi="仿宋" w:eastAsia="仿宋" w:cs="仿宋"/>
                <w:color w:val="auto"/>
                <w:kern w:val="0"/>
                <w:sz w:val="24"/>
                <w:szCs w:val="24"/>
                <w:highlight w:val="none"/>
              </w:rPr>
            </w:pPr>
          </w:p>
        </w:tc>
      </w:tr>
      <w:tr w14:paraId="3E490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675" w:type="dxa"/>
            <w:tcBorders>
              <w:top w:val="single" w:color="000000" w:sz="6" w:space="0"/>
              <w:left w:val="single" w:color="000000" w:sz="6" w:space="0"/>
              <w:bottom w:val="single" w:color="000000" w:sz="6" w:space="0"/>
              <w:right w:val="single" w:color="auto" w:sz="4" w:space="0"/>
            </w:tcBorders>
            <w:noWrap w:val="0"/>
            <w:vAlign w:val="center"/>
          </w:tcPr>
          <w:p w14:paraId="37C03010">
            <w:pPr>
              <w:widowControl/>
              <w:snapToGrid w:val="0"/>
              <w:spacing w:line="360" w:lineRule="auto"/>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w:t>
            </w:r>
          </w:p>
        </w:tc>
        <w:tc>
          <w:tcPr>
            <w:tcW w:w="1586" w:type="dxa"/>
            <w:tcBorders>
              <w:top w:val="single" w:color="000000" w:sz="6" w:space="0"/>
              <w:left w:val="single" w:color="auto" w:sz="4" w:space="0"/>
              <w:bottom w:val="single" w:color="000000" w:sz="6" w:space="0"/>
              <w:right w:val="single" w:color="auto" w:sz="4" w:space="0"/>
            </w:tcBorders>
            <w:noWrap w:val="0"/>
            <w:vAlign w:val="center"/>
          </w:tcPr>
          <w:p w14:paraId="09369A0F">
            <w:pPr>
              <w:widowControl/>
              <w:snapToGrid w:val="0"/>
              <w:spacing w:line="360" w:lineRule="auto"/>
              <w:jc w:val="center"/>
              <w:rPr>
                <w:rFonts w:hint="eastAsia" w:ascii="仿宋" w:hAnsi="仿宋" w:eastAsia="仿宋" w:cs="仿宋"/>
                <w:color w:val="auto"/>
                <w:kern w:val="0"/>
                <w:sz w:val="24"/>
                <w:szCs w:val="24"/>
                <w:highlight w:val="none"/>
              </w:rPr>
            </w:pPr>
          </w:p>
        </w:tc>
        <w:tc>
          <w:tcPr>
            <w:tcW w:w="720" w:type="dxa"/>
            <w:tcBorders>
              <w:top w:val="single" w:color="000000" w:sz="6" w:space="0"/>
              <w:left w:val="single" w:color="auto" w:sz="4" w:space="0"/>
              <w:bottom w:val="single" w:color="000000" w:sz="6" w:space="0"/>
              <w:right w:val="single" w:color="000000" w:sz="6" w:space="0"/>
            </w:tcBorders>
            <w:noWrap w:val="0"/>
            <w:vAlign w:val="center"/>
          </w:tcPr>
          <w:p w14:paraId="5084C621">
            <w:pPr>
              <w:widowControl/>
              <w:snapToGrid w:val="0"/>
              <w:spacing w:line="360" w:lineRule="auto"/>
              <w:jc w:val="center"/>
              <w:rPr>
                <w:rFonts w:hint="eastAsia" w:ascii="仿宋" w:hAnsi="仿宋" w:eastAsia="仿宋" w:cs="仿宋"/>
                <w:color w:val="auto"/>
                <w:kern w:val="0"/>
                <w:sz w:val="24"/>
                <w:szCs w:val="24"/>
                <w:highlight w:val="none"/>
              </w:rPr>
            </w:pPr>
          </w:p>
        </w:tc>
        <w:tc>
          <w:tcPr>
            <w:tcW w:w="642" w:type="dxa"/>
            <w:tcBorders>
              <w:top w:val="single" w:color="000000" w:sz="6" w:space="0"/>
              <w:left w:val="single" w:color="000000" w:sz="6" w:space="0"/>
              <w:bottom w:val="single" w:color="000000" w:sz="6" w:space="0"/>
              <w:right w:val="single" w:color="000000" w:sz="6" w:space="0"/>
            </w:tcBorders>
            <w:noWrap w:val="0"/>
            <w:vAlign w:val="center"/>
          </w:tcPr>
          <w:p w14:paraId="45C7AFAF">
            <w:pPr>
              <w:widowControl/>
              <w:snapToGrid w:val="0"/>
              <w:spacing w:line="360" w:lineRule="auto"/>
              <w:jc w:val="center"/>
              <w:rPr>
                <w:rFonts w:hint="eastAsia" w:ascii="仿宋" w:hAnsi="仿宋" w:eastAsia="仿宋" w:cs="仿宋"/>
                <w:color w:val="auto"/>
                <w:kern w:val="0"/>
                <w:sz w:val="24"/>
                <w:szCs w:val="24"/>
                <w:highlight w:val="none"/>
              </w:rPr>
            </w:pPr>
          </w:p>
        </w:tc>
        <w:tc>
          <w:tcPr>
            <w:tcW w:w="1694" w:type="dxa"/>
            <w:tcBorders>
              <w:top w:val="single" w:color="000000" w:sz="6" w:space="0"/>
              <w:left w:val="single" w:color="000000" w:sz="6" w:space="0"/>
              <w:bottom w:val="single" w:color="000000" w:sz="6" w:space="0"/>
              <w:right w:val="single" w:color="000000" w:sz="6" w:space="0"/>
            </w:tcBorders>
            <w:noWrap w:val="0"/>
            <w:vAlign w:val="center"/>
          </w:tcPr>
          <w:p w14:paraId="06431568">
            <w:pPr>
              <w:widowControl/>
              <w:snapToGrid w:val="0"/>
              <w:spacing w:line="360" w:lineRule="auto"/>
              <w:jc w:val="center"/>
              <w:rPr>
                <w:rFonts w:hint="eastAsia" w:ascii="仿宋" w:hAnsi="仿宋" w:eastAsia="仿宋" w:cs="仿宋"/>
                <w:color w:val="auto"/>
                <w:kern w:val="0"/>
                <w:sz w:val="24"/>
                <w:szCs w:val="24"/>
                <w:highlight w:val="none"/>
              </w:rPr>
            </w:pPr>
          </w:p>
        </w:tc>
        <w:tc>
          <w:tcPr>
            <w:tcW w:w="1605" w:type="dxa"/>
            <w:tcBorders>
              <w:top w:val="single" w:color="000000" w:sz="6" w:space="0"/>
              <w:left w:val="single" w:color="000000" w:sz="6" w:space="0"/>
              <w:bottom w:val="single" w:color="000000" w:sz="6" w:space="0"/>
              <w:right w:val="single" w:color="000000" w:sz="6" w:space="0"/>
            </w:tcBorders>
            <w:noWrap w:val="0"/>
            <w:vAlign w:val="center"/>
          </w:tcPr>
          <w:p w14:paraId="7510E288">
            <w:pPr>
              <w:widowControl/>
              <w:snapToGrid w:val="0"/>
              <w:spacing w:line="360" w:lineRule="auto"/>
              <w:jc w:val="center"/>
              <w:rPr>
                <w:rFonts w:hint="eastAsia" w:ascii="仿宋" w:hAnsi="仿宋" w:eastAsia="仿宋" w:cs="仿宋"/>
                <w:color w:val="auto"/>
                <w:kern w:val="0"/>
                <w:sz w:val="24"/>
                <w:szCs w:val="24"/>
                <w:highlight w:val="none"/>
              </w:rPr>
            </w:pPr>
          </w:p>
        </w:tc>
        <w:tc>
          <w:tcPr>
            <w:tcW w:w="1148" w:type="dxa"/>
            <w:tcBorders>
              <w:top w:val="single" w:color="000000" w:sz="6" w:space="0"/>
              <w:left w:val="single" w:color="000000" w:sz="6" w:space="0"/>
              <w:bottom w:val="single" w:color="000000" w:sz="6" w:space="0"/>
              <w:right w:val="single" w:color="000000" w:sz="6" w:space="0"/>
            </w:tcBorders>
            <w:noWrap w:val="0"/>
            <w:vAlign w:val="center"/>
          </w:tcPr>
          <w:p w14:paraId="0198A95F">
            <w:pPr>
              <w:widowControl/>
              <w:snapToGrid w:val="0"/>
              <w:spacing w:line="360" w:lineRule="auto"/>
              <w:jc w:val="center"/>
              <w:rPr>
                <w:rFonts w:hint="eastAsia" w:ascii="仿宋" w:hAnsi="仿宋" w:eastAsia="仿宋" w:cs="仿宋"/>
                <w:color w:val="auto"/>
                <w:kern w:val="0"/>
                <w:sz w:val="24"/>
                <w:szCs w:val="24"/>
                <w:highlight w:val="none"/>
              </w:rPr>
            </w:pPr>
          </w:p>
        </w:tc>
        <w:tc>
          <w:tcPr>
            <w:tcW w:w="840" w:type="dxa"/>
            <w:tcBorders>
              <w:top w:val="single" w:color="000000" w:sz="6" w:space="0"/>
              <w:left w:val="single" w:color="000000" w:sz="6" w:space="0"/>
              <w:bottom w:val="single" w:color="000000" w:sz="6" w:space="0"/>
              <w:right w:val="single" w:color="000000" w:sz="6" w:space="0"/>
            </w:tcBorders>
            <w:noWrap w:val="0"/>
            <w:vAlign w:val="center"/>
          </w:tcPr>
          <w:p w14:paraId="516C1279">
            <w:pPr>
              <w:widowControl/>
              <w:snapToGrid w:val="0"/>
              <w:spacing w:line="360" w:lineRule="auto"/>
              <w:jc w:val="center"/>
              <w:rPr>
                <w:rFonts w:hint="eastAsia" w:ascii="仿宋" w:hAnsi="仿宋" w:eastAsia="仿宋" w:cs="仿宋"/>
                <w:color w:val="auto"/>
                <w:kern w:val="0"/>
                <w:sz w:val="24"/>
                <w:szCs w:val="24"/>
                <w:highlight w:val="none"/>
              </w:rPr>
            </w:pPr>
          </w:p>
        </w:tc>
      </w:tr>
      <w:tr w14:paraId="1DE74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675" w:type="dxa"/>
            <w:tcBorders>
              <w:top w:val="single" w:color="000000" w:sz="6" w:space="0"/>
              <w:left w:val="single" w:color="000000" w:sz="6" w:space="0"/>
              <w:bottom w:val="single" w:color="000000" w:sz="6" w:space="0"/>
              <w:right w:val="single" w:color="auto" w:sz="4" w:space="0"/>
            </w:tcBorders>
            <w:noWrap w:val="0"/>
            <w:vAlign w:val="center"/>
          </w:tcPr>
          <w:p w14:paraId="5034021F">
            <w:pPr>
              <w:widowControl/>
              <w:snapToGrid w:val="0"/>
              <w:spacing w:line="360" w:lineRule="auto"/>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w:t>
            </w:r>
          </w:p>
        </w:tc>
        <w:tc>
          <w:tcPr>
            <w:tcW w:w="1586" w:type="dxa"/>
            <w:tcBorders>
              <w:top w:val="single" w:color="000000" w:sz="6" w:space="0"/>
              <w:left w:val="single" w:color="auto" w:sz="4" w:space="0"/>
              <w:bottom w:val="single" w:color="000000" w:sz="6" w:space="0"/>
              <w:right w:val="single" w:color="auto" w:sz="4" w:space="0"/>
            </w:tcBorders>
            <w:noWrap w:val="0"/>
            <w:vAlign w:val="center"/>
          </w:tcPr>
          <w:p w14:paraId="6C7D0F21">
            <w:pPr>
              <w:widowControl/>
              <w:snapToGrid w:val="0"/>
              <w:spacing w:line="360" w:lineRule="auto"/>
              <w:jc w:val="center"/>
              <w:rPr>
                <w:rFonts w:hint="eastAsia" w:ascii="仿宋" w:hAnsi="仿宋" w:eastAsia="仿宋" w:cs="仿宋"/>
                <w:color w:val="auto"/>
                <w:kern w:val="0"/>
                <w:sz w:val="24"/>
                <w:szCs w:val="24"/>
                <w:highlight w:val="none"/>
              </w:rPr>
            </w:pPr>
          </w:p>
        </w:tc>
        <w:tc>
          <w:tcPr>
            <w:tcW w:w="720" w:type="dxa"/>
            <w:tcBorders>
              <w:top w:val="single" w:color="000000" w:sz="6" w:space="0"/>
              <w:left w:val="single" w:color="auto" w:sz="4" w:space="0"/>
              <w:bottom w:val="single" w:color="000000" w:sz="6" w:space="0"/>
              <w:right w:val="single" w:color="000000" w:sz="6" w:space="0"/>
            </w:tcBorders>
            <w:noWrap w:val="0"/>
            <w:vAlign w:val="center"/>
          </w:tcPr>
          <w:p w14:paraId="701855D8">
            <w:pPr>
              <w:widowControl/>
              <w:snapToGrid w:val="0"/>
              <w:spacing w:line="360" w:lineRule="auto"/>
              <w:jc w:val="center"/>
              <w:rPr>
                <w:rFonts w:hint="eastAsia" w:ascii="仿宋" w:hAnsi="仿宋" w:eastAsia="仿宋" w:cs="仿宋"/>
                <w:color w:val="auto"/>
                <w:kern w:val="0"/>
                <w:sz w:val="24"/>
                <w:szCs w:val="24"/>
                <w:highlight w:val="none"/>
              </w:rPr>
            </w:pPr>
          </w:p>
        </w:tc>
        <w:tc>
          <w:tcPr>
            <w:tcW w:w="642" w:type="dxa"/>
            <w:tcBorders>
              <w:top w:val="single" w:color="000000" w:sz="6" w:space="0"/>
              <w:left w:val="single" w:color="000000" w:sz="6" w:space="0"/>
              <w:bottom w:val="single" w:color="000000" w:sz="6" w:space="0"/>
              <w:right w:val="single" w:color="000000" w:sz="6" w:space="0"/>
            </w:tcBorders>
            <w:noWrap w:val="0"/>
            <w:vAlign w:val="center"/>
          </w:tcPr>
          <w:p w14:paraId="5C6CC1C1">
            <w:pPr>
              <w:widowControl/>
              <w:snapToGrid w:val="0"/>
              <w:spacing w:line="360" w:lineRule="auto"/>
              <w:jc w:val="center"/>
              <w:rPr>
                <w:rFonts w:hint="eastAsia" w:ascii="仿宋" w:hAnsi="仿宋" w:eastAsia="仿宋" w:cs="仿宋"/>
                <w:color w:val="auto"/>
                <w:kern w:val="0"/>
                <w:sz w:val="24"/>
                <w:szCs w:val="24"/>
                <w:highlight w:val="none"/>
              </w:rPr>
            </w:pPr>
          </w:p>
        </w:tc>
        <w:tc>
          <w:tcPr>
            <w:tcW w:w="1694" w:type="dxa"/>
            <w:tcBorders>
              <w:top w:val="single" w:color="000000" w:sz="6" w:space="0"/>
              <w:left w:val="single" w:color="000000" w:sz="6" w:space="0"/>
              <w:bottom w:val="single" w:color="000000" w:sz="6" w:space="0"/>
              <w:right w:val="single" w:color="000000" w:sz="6" w:space="0"/>
            </w:tcBorders>
            <w:noWrap w:val="0"/>
            <w:vAlign w:val="center"/>
          </w:tcPr>
          <w:p w14:paraId="7ADC51EE">
            <w:pPr>
              <w:widowControl/>
              <w:snapToGrid w:val="0"/>
              <w:spacing w:line="360" w:lineRule="auto"/>
              <w:jc w:val="center"/>
              <w:rPr>
                <w:rFonts w:hint="eastAsia" w:ascii="仿宋" w:hAnsi="仿宋" w:eastAsia="仿宋" w:cs="仿宋"/>
                <w:color w:val="auto"/>
                <w:kern w:val="0"/>
                <w:sz w:val="24"/>
                <w:szCs w:val="24"/>
                <w:highlight w:val="none"/>
              </w:rPr>
            </w:pPr>
          </w:p>
        </w:tc>
        <w:tc>
          <w:tcPr>
            <w:tcW w:w="1605" w:type="dxa"/>
            <w:tcBorders>
              <w:top w:val="single" w:color="000000" w:sz="6" w:space="0"/>
              <w:left w:val="single" w:color="000000" w:sz="6" w:space="0"/>
              <w:bottom w:val="single" w:color="000000" w:sz="6" w:space="0"/>
              <w:right w:val="single" w:color="000000" w:sz="6" w:space="0"/>
            </w:tcBorders>
            <w:noWrap w:val="0"/>
            <w:vAlign w:val="center"/>
          </w:tcPr>
          <w:p w14:paraId="6318AA5D">
            <w:pPr>
              <w:widowControl/>
              <w:snapToGrid w:val="0"/>
              <w:spacing w:line="360" w:lineRule="auto"/>
              <w:jc w:val="center"/>
              <w:rPr>
                <w:rFonts w:hint="eastAsia" w:ascii="仿宋" w:hAnsi="仿宋" w:eastAsia="仿宋" w:cs="仿宋"/>
                <w:color w:val="auto"/>
                <w:kern w:val="0"/>
                <w:sz w:val="24"/>
                <w:szCs w:val="24"/>
                <w:highlight w:val="none"/>
              </w:rPr>
            </w:pPr>
          </w:p>
        </w:tc>
        <w:tc>
          <w:tcPr>
            <w:tcW w:w="1148" w:type="dxa"/>
            <w:tcBorders>
              <w:top w:val="single" w:color="000000" w:sz="6" w:space="0"/>
              <w:left w:val="single" w:color="000000" w:sz="6" w:space="0"/>
              <w:bottom w:val="single" w:color="000000" w:sz="6" w:space="0"/>
              <w:right w:val="single" w:color="000000" w:sz="6" w:space="0"/>
            </w:tcBorders>
            <w:noWrap w:val="0"/>
            <w:vAlign w:val="center"/>
          </w:tcPr>
          <w:p w14:paraId="2CBFA1CD">
            <w:pPr>
              <w:widowControl/>
              <w:snapToGrid w:val="0"/>
              <w:spacing w:line="360" w:lineRule="auto"/>
              <w:jc w:val="center"/>
              <w:rPr>
                <w:rFonts w:hint="eastAsia" w:ascii="仿宋" w:hAnsi="仿宋" w:eastAsia="仿宋" w:cs="仿宋"/>
                <w:color w:val="auto"/>
                <w:kern w:val="0"/>
                <w:sz w:val="24"/>
                <w:szCs w:val="24"/>
                <w:highlight w:val="none"/>
              </w:rPr>
            </w:pPr>
          </w:p>
        </w:tc>
        <w:tc>
          <w:tcPr>
            <w:tcW w:w="840" w:type="dxa"/>
            <w:tcBorders>
              <w:top w:val="single" w:color="000000" w:sz="6" w:space="0"/>
              <w:left w:val="single" w:color="000000" w:sz="6" w:space="0"/>
              <w:bottom w:val="single" w:color="000000" w:sz="6" w:space="0"/>
              <w:right w:val="single" w:color="000000" w:sz="6" w:space="0"/>
            </w:tcBorders>
            <w:noWrap w:val="0"/>
            <w:vAlign w:val="center"/>
          </w:tcPr>
          <w:p w14:paraId="1F3EEF0B">
            <w:pPr>
              <w:widowControl/>
              <w:snapToGrid w:val="0"/>
              <w:spacing w:line="360" w:lineRule="auto"/>
              <w:jc w:val="center"/>
              <w:rPr>
                <w:rFonts w:hint="eastAsia" w:ascii="仿宋" w:hAnsi="仿宋" w:eastAsia="仿宋" w:cs="仿宋"/>
                <w:color w:val="auto"/>
                <w:kern w:val="0"/>
                <w:sz w:val="24"/>
                <w:szCs w:val="24"/>
                <w:highlight w:val="none"/>
              </w:rPr>
            </w:pPr>
          </w:p>
        </w:tc>
      </w:tr>
      <w:tr w14:paraId="5EBE4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675" w:type="dxa"/>
            <w:tcBorders>
              <w:top w:val="single" w:color="000000" w:sz="6" w:space="0"/>
              <w:left w:val="single" w:color="000000" w:sz="6" w:space="0"/>
              <w:bottom w:val="single" w:color="000000" w:sz="6" w:space="0"/>
              <w:right w:val="single" w:color="auto" w:sz="4" w:space="0"/>
            </w:tcBorders>
            <w:noWrap w:val="0"/>
            <w:vAlign w:val="center"/>
          </w:tcPr>
          <w:p w14:paraId="368263D6">
            <w:pPr>
              <w:widowControl/>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b w:val="0"/>
                <w:i w:val="0"/>
                <w:caps w:val="0"/>
                <w:color w:val="auto"/>
                <w:spacing w:val="0"/>
                <w:w w:val="100"/>
                <w:kern w:val="0"/>
                <w:sz w:val="21"/>
                <w:szCs w:val="21"/>
                <w:highlight w:val="none"/>
              </w:rPr>
              <w:t>...</w:t>
            </w:r>
          </w:p>
        </w:tc>
        <w:tc>
          <w:tcPr>
            <w:tcW w:w="1586" w:type="dxa"/>
            <w:tcBorders>
              <w:top w:val="single" w:color="000000" w:sz="6" w:space="0"/>
              <w:left w:val="single" w:color="auto" w:sz="4" w:space="0"/>
              <w:bottom w:val="single" w:color="000000" w:sz="6" w:space="0"/>
              <w:right w:val="single" w:color="auto" w:sz="4" w:space="0"/>
            </w:tcBorders>
            <w:noWrap w:val="0"/>
            <w:vAlign w:val="center"/>
          </w:tcPr>
          <w:p w14:paraId="0F154C41">
            <w:pPr>
              <w:widowControl/>
              <w:snapToGrid w:val="0"/>
              <w:spacing w:line="360" w:lineRule="auto"/>
              <w:jc w:val="center"/>
              <w:rPr>
                <w:rFonts w:hint="eastAsia" w:ascii="仿宋" w:hAnsi="仿宋" w:eastAsia="仿宋" w:cs="仿宋"/>
                <w:color w:val="auto"/>
                <w:kern w:val="0"/>
                <w:sz w:val="24"/>
                <w:szCs w:val="24"/>
                <w:highlight w:val="none"/>
              </w:rPr>
            </w:pPr>
          </w:p>
        </w:tc>
        <w:tc>
          <w:tcPr>
            <w:tcW w:w="720" w:type="dxa"/>
            <w:tcBorders>
              <w:top w:val="single" w:color="000000" w:sz="6" w:space="0"/>
              <w:left w:val="single" w:color="auto" w:sz="4" w:space="0"/>
              <w:bottom w:val="single" w:color="000000" w:sz="6" w:space="0"/>
              <w:right w:val="single" w:color="000000" w:sz="6" w:space="0"/>
            </w:tcBorders>
            <w:noWrap w:val="0"/>
            <w:vAlign w:val="center"/>
          </w:tcPr>
          <w:p w14:paraId="44245676">
            <w:pPr>
              <w:widowControl/>
              <w:snapToGrid w:val="0"/>
              <w:spacing w:line="360" w:lineRule="auto"/>
              <w:jc w:val="center"/>
              <w:rPr>
                <w:rFonts w:hint="eastAsia" w:ascii="仿宋" w:hAnsi="仿宋" w:eastAsia="仿宋" w:cs="仿宋"/>
                <w:color w:val="auto"/>
                <w:kern w:val="0"/>
                <w:sz w:val="24"/>
                <w:szCs w:val="24"/>
                <w:highlight w:val="none"/>
              </w:rPr>
            </w:pPr>
          </w:p>
        </w:tc>
        <w:tc>
          <w:tcPr>
            <w:tcW w:w="642" w:type="dxa"/>
            <w:tcBorders>
              <w:top w:val="single" w:color="000000" w:sz="6" w:space="0"/>
              <w:left w:val="single" w:color="000000" w:sz="6" w:space="0"/>
              <w:bottom w:val="single" w:color="000000" w:sz="6" w:space="0"/>
              <w:right w:val="single" w:color="000000" w:sz="6" w:space="0"/>
            </w:tcBorders>
            <w:noWrap w:val="0"/>
            <w:vAlign w:val="center"/>
          </w:tcPr>
          <w:p w14:paraId="280BC797">
            <w:pPr>
              <w:widowControl/>
              <w:snapToGrid w:val="0"/>
              <w:spacing w:line="360" w:lineRule="auto"/>
              <w:jc w:val="center"/>
              <w:rPr>
                <w:rFonts w:hint="eastAsia" w:ascii="仿宋" w:hAnsi="仿宋" w:eastAsia="仿宋" w:cs="仿宋"/>
                <w:color w:val="auto"/>
                <w:kern w:val="0"/>
                <w:sz w:val="24"/>
                <w:szCs w:val="24"/>
                <w:highlight w:val="none"/>
              </w:rPr>
            </w:pPr>
          </w:p>
        </w:tc>
        <w:tc>
          <w:tcPr>
            <w:tcW w:w="1694" w:type="dxa"/>
            <w:tcBorders>
              <w:top w:val="single" w:color="000000" w:sz="6" w:space="0"/>
              <w:left w:val="single" w:color="000000" w:sz="6" w:space="0"/>
              <w:bottom w:val="single" w:color="000000" w:sz="6" w:space="0"/>
              <w:right w:val="single" w:color="000000" w:sz="6" w:space="0"/>
            </w:tcBorders>
            <w:noWrap w:val="0"/>
            <w:vAlign w:val="center"/>
          </w:tcPr>
          <w:p w14:paraId="1B4B2193">
            <w:pPr>
              <w:widowControl/>
              <w:snapToGrid w:val="0"/>
              <w:spacing w:line="360" w:lineRule="auto"/>
              <w:jc w:val="center"/>
              <w:rPr>
                <w:rFonts w:hint="eastAsia" w:ascii="仿宋" w:hAnsi="仿宋" w:eastAsia="仿宋" w:cs="仿宋"/>
                <w:color w:val="auto"/>
                <w:kern w:val="0"/>
                <w:sz w:val="24"/>
                <w:szCs w:val="24"/>
                <w:highlight w:val="none"/>
              </w:rPr>
            </w:pPr>
          </w:p>
        </w:tc>
        <w:tc>
          <w:tcPr>
            <w:tcW w:w="1605" w:type="dxa"/>
            <w:tcBorders>
              <w:top w:val="single" w:color="000000" w:sz="6" w:space="0"/>
              <w:left w:val="single" w:color="000000" w:sz="6" w:space="0"/>
              <w:bottom w:val="single" w:color="000000" w:sz="6" w:space="0"/>
              <w:right w:val="single" w:color="000000" w:sz="6" w:space="0"/>
            </w:tcBorders>
            <w:noWrap w:val="0"/>
            <w:vAlign w:val="center"/>
          </w:tcPr>
          <w:p w14:paraId="61927CB1">
            <w:pPr>
              <w:widowControl/>
              <w:snapToGrid w:val="0"/>
              <w:spacing w:line="360" w:lineRule="auto"/>
              <w:jc w:val="center"/>
              <w:rPr>
                <w:rFonts w:hint="eastAsia" w:ascii="仿宋" w:hAnsi="仿宋" w:eastAsia="仿宋" w:cs="仿宋"/>
                <w:color w:val="auto"/>
                <w:kern w:val="0"/>
                <w:sz w:val="24"/>
                <w:szCs w:val="24"/>
                <w:highlight w:val="none"/>
              </w:rPr>
            </w:pPr>
          </w:p>
        </w:tc>
        <w:tc>
          <w:tcPr>
            <w:tcW w:w="1148" w:type="dxa"/>
            <w:tcBorders>
              <w:top w:val="single" w:color="000000" w:sz="6" w:space="0"/>
              <w:left w:val="single" w:color="000000" w:sz="6" w:space="0"/>
              <w:bottom w:val="single" w:color="000000" w:sz="6" w:space="0"/>
              <w:right w:val="single" w:color="000000" w:sz="6" w:space="0"/>
            </w:tcBorders>
            <w:noWrap w:val="0"/>
            <w:vAlign w:val="center"/>
          </w:tcPr>
          <w:p w14:paraId="02D0F717">
            <w:pPr>
              <w:widowControl/>
              <w:snapToGrid w:val="0"/>
              <w:spacing w:line="360" w:lineRule="auto"/>
              <w:jc w:val="center"/>
              <w:rPr>
                <w:rFonts w:hint="eastAsia" w:ascii="仿宋" w:hAnsi="仿宋" w:eastAsia="仿宋" w:cs="仿宋"/>
                <w:color w:val="auto"/>
                <w:kern w:val="0"/>
                <w:sz w:val="24"/>
                <w:szCs w:val="24"/>
                <w:highlight w:val="none"/>
              </w:rPr>
            </w:pPr>
          </w:p>
        </w:tc>
        <w:tc>
          <w:tcPr>
            <w:tcW w:w="840" w:type="dxa"/>
            <w:tcBorders>
              <w:top w:val="single" w:color="000000" w:sz="6" w:space="0"/>
              <w:left w:val="single" w:color="000000" w:sz="6" w:space="0"/>
              <w:bottom w:val="single" w:color="000000" w:sz="6" w:space="0"/>
              <w:right w:val="single" w:color="000000" w:sz="6" w:space="0"/>
            </w:tcBorders>
            <w:noWrap w:val="0"/>
            <w:vAlign w:val="center"/>
          </w:tcPr>
          <w:p w14:paraId="6199BF55">
            <w:pPr>
              <w:widowControl/>
              <w:snapToGrid w:val="0"/>
              <w:spacing w:line="360" w:lineRule="auto"/>
              <w:jc w:val="center"/>
              <w:rPr>
                <w:rFonts w:hint="eastAsia" w:ascii="仿宋" w:hAnsi="仿宋" w:eastAsia="仿宋" w:cs="仿宋"/>
                <w:color w:val="auto"/>
                <w:kern w:val="0"/>
                <w:sz w:val="24"/>
                <w:szCs w:val="24"/>
                <w:highlight w:val="none"/>
              </w:rPr>
            </w:pPr>
          </w:p>
        </w:tc>
      </w:tr>
    </w:tbl>
    <w:p w14:paraId="7921CD3E">
      <w:pPr>
        <w:widowControl/>
        <w:snapToGrid w:val="0"/>
        <w:spacing w:line="360" w:lineRule="auto"/>
        <w:jc w:val="left"/>
        <w:rPr>
          <w:rFonts w:hint="eastAsia" w:ascii="仿宋" w:hAnsi="仿宋" w:eastAsia="仿宋" w:cs="仿宋"/>
          <w:color w:val="auto"/>
          <w:kern w:val="0"/>
          <w:sz w:val="24"/>
          <w:szCs w:val="24"/>
          <w:highlight w:val="none"/>
        </w:rPr>
      </w:pPr>
    </w:p>
    <w:p w14:paraId="6169682F">
      <w:pPr>
        <w:widowControl/>
        <w:snapToGrid/>
        <w:spacing w:line="360" w:lineRule="auto"/>
        <w:ind w:firstLine="0" w:firstLine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注：</w:t>
      </w:r>
      <w:r>
        <w:rPr>
          <w:rFonts w:hint="eastAsia" w:ascii="仿宋" w:hAnsi="仿宋" w:eastAsia="仿宋" w:cs="仿宋"/>
          <w:color w:val="auto"/>
          <w:kern w:val="0"/>
          <w:sz w:val="24"/>
          <w:highlight w:val="none"/>
          <w:lang w:val="en-US" w:eastAsia="zh-CN"/>
        </w:rPr>
        <w:t>供应商</w:t>
      </w:r>
      <w:r>
        <w:rPr>
          <w:rFonts w:hint="eastAsia" w:ascii="仿宋" w:hAnsi="仿宋" w:eastAsia="仿宋" w:cs="仿宋"/>
          <w:color w:val="auto"/>
          <w:kern w:val="0"/>
          <w:sz w:val="24"/>
          <w:highlight w:val="none"/>
        </w:rPr>
        <w:t>可根据本</w:t>
      </w:r>
      <w:r>
        <w:rPr>
          <w:rFonts w:hint="eastAsia" w:ascii="仿宋" w:hAnsi="仿宋" w:eastAsia="仿宋" w:cs="仿宋"/>
          <w:color w:val="auto"/>
          <w:kern w:val="0"/>
          <w:sz w:val="24"/>
          <w:highlight w:val="none"/>
          <w:lang w:val="en-US" w:eastAsia="zh-CN"/>
        </w:rPr>
        <w:t>竞争性谈判</w:t>
      </w:r>
      <w:r>
        <w:rPr>
          <w:rFonts w:hint="eastAsia" w:ascii="仿宋" w:hAnsi="仿宋" w:eastAsia="仿宋" w:cs="仿宋"/>
          <w:color w:val="auto"/>
          <w:kern w:val="0"/>
          <w:sz w:val="24"/>
          <w:highlight w:val="none"/>
        </w:rPr>
        <w:t>文件中</w:t>
      </w:r>
      <w:r>
        <w:rPr>
          <w:rFonts w:hint="eastAsia" w:ascii="仿宋" w:hAnsi="仿宋" w:eastAsia="仿宋" w:cs="仿宋"/>
          <w:color w:val="auto"/>
          <w:kern w:val="0"/>
          <w:sz w:val="24"/>
          <w:highlight w:val="none"/>
          <w:lang w:val="en-US" w:eastAsia="zh-CN"/>
        </w:rPr>
        <w:t>技术</w:t>
      </w:r>
      <w:r>
        <w:rPr>
          <w:rFonts w:hint="eastAsia" w:ascii="仿宋" w:hAnsi="仿宋" w:eastAsia="仿宋" w:cs="仿宋"/>
          <w:color w:val="auto"/>
          <w:kern w:val="0"/>
          <w:sz w:val="24"/>
          <w:highlight w:val="none"/>
        </w:rPr>
        <w:t>要求编制此表，在此表中客观真实的做出</w:t>
      </w:r>
      <w:r>
        <w:rPr>
          <w:rFonts w:hint="eastAsia" w:ascii="仿宋" w:hAnsi="仿宋" w:eastAsia="仿宋" w:cs="仿宋"/>
          <w:color w:val="auto"/>
          <w:kern w:val="0"/>
          <w:sz w:val="24"/>
          <w:highlight w:val="none"/>
          <w:lang w:val="en-US" w:eastAsia="zh-CN"/>
        </w:rPr>
        <w:t>逐条</w:t>
      </w:r>
      <w:r>
        <w:rPr>
          <w:rFonts w:hint="eastAsia" w:ascii="仿宋" w:hAnsi="仿宋" w:eastAsia="仿宋" w:cs="仿宋"/>
          <w:color w:val="auto"/>
          <w:kern w:val="0"/>
          <w:sz w:val="24"/>
          <w:highlight w:val="none"/>
        </w:rPr>
        <w:t>响应，并根据响应情况在偏离情况中填写“无偏离”“负偏离”“正偏离”</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如未逐条响应，按无效响应处理</w:t>
      </w:r>
      <w:r>
        <w:rPr>
          <w:rFonts w:hint="eastAsia" w:ascii="仿宋" w:hAnsi="仿宋" w:eastAsia="仿宋" w:cs="仿宋"/>
          <w:color w:val="auto"/>
          <w:kern w:val="0"/>
          <w:sz w:val="24"/>
          <w:highlight w:val="none"/>
        </w:rPr>
        <w:t>。</w:t>
      </w:r>
    </w:p>
    <w:p w14:paraId="4BEAABE3">
      <w:pPr>
        <w:widowControl/>
        <w:snapToGrid w:val="0"/>
        <w:spacing w:line="360" w:lineRule="auto"/>
        <w:jc w:val="left"/>
        <w:rPr>
          <w:rFonts w:hint="eastAsia" w:ascii="仿宋" w:hAnsi="仿宋" w:eastAsia="仿宋" w:cs="仿宋"/>
          <w:color w:val="auto"/>
          <w:kern w:val="0"/>
          <w:sz w:val="24"/>
          <w:szCs w:val="24"/>
          <w:highlight w:val="none"/>
        </w:rPr>
      </w:pPr>
    </w:p>
    <w:p w14:paraId="399479F0">
      <w:pPr>
        <w:widowControl/>
        <w:snapToGrid w:val="0"/>
        <w:spacing w:line="360" w:lineRule="auto"/>
        <w:jc w:val="left"/>
        <w:rPr>
          <w:rFonts w:hint="eastAsia" w:ascii="仿宋" w:hAnsi="仿宋" w:eastAsia="仿宋" w:cs="仿宋"/>
          <w:color w:val="auto"/>
          <w:kern w:val="0"/>
          <w:sz w:val="24"/>
          <w:szCs w:val="24"/>
          <w:highlight w:val="none"/>
        </w:rPr>
      </w:pPr>
    </w:p>
    <w:p w14:paraId="064B88BC">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szCs w:val="24"/>
          <w:highlight w:val="none"/>
        </w:rPr>
        <w:t>供应商名称：</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(盖章)</w:t>
      </w:r>
    </w:p>
    <w:p w14:paraId="511D587A">
      <w:pPr>
        <w:keepNext w:val="0"/>
        <w:keepLines w:val="0"/>
        <w:pageBreakBefore w:val="0"/>
        <w:widowControl/>
        <w:tabs>
          <w:tab w:val="left" w:pos="4000"/>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sz w:val="24"/>
          <w:szCs w:val="24"/>
          <w:highlight w:val="none"/>
        </w:rPr>
      </w:pPr>
      <w:r>
        <w:rPr>
          <w:rFonts w:hint="eastAsia" w:ascii="仿宋" w:hAnsi="仿宋" w:eastAsia="仿宋" w:cs="仿宋"/>
          <w:color w:val="auto"/>
          <w:spacing w:val="0"/>
          <w:kern w:val="21"/>
          <w:sz w:val="24"/>
          <w:highlight w:val="none"/>
          <w:lang w:eastAsia="zh-CN"/>
        </w:rPr>
        <w:t>法定代表人或供应商授权代表</w:t>
      </w:r>
      <w:r>
        <w:rPr>
          <w:rFonts w:hint="eastAsia" w:ascii="仿宋" w:hAnsi="仿宋" w:eastAsia="仿宋" w:cs="仿宋"/>
          <w:color w:val="auto"/>
          <w:spacing w:val="0"/>
          <w:kern w:val="21"/>
          <w:sz w:val="24"/>
          <w:szCs w:val="24"/>
          <w:highlight w:val="none"/>
        </w:rPr>
        <w:t>：</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color w:val="auto"/>
          <w:spacing w:val="0"/>
          <w:kern w:val="21"/>
          <w:sz w:val="24"/>
          <w:szCs w:val="24"/>
          <w:highlight w:val="none"/>
        </w:rPr>
        <w:t>(签字或盖章)</w:t>
      </w:r>
    </w:p>
    <w:p w14:paraId="5EE5EC17">
      <w:pPr>
        <w:keepNext w:val="0"/>
        <w:keepLines w:val="0"/>
        <w:pageBreakBefore w:val="0"/>
        <w:widowControl/>
        <w:tabs>
          <w:tab w:val="left" w:pos="567"/>
        </w:tabs>
        <w:kinsoku/>
        <w:wordWrap/>
        <w:overflowPunct/>
        <w:topLinePunct w:val="0"/>
        <w:autoSpaceDE/>
        <w:autoSpaceDN/>
        <w:bidi w:val="0"/>
        <w:adjustRightInd/>
        <w:snapToGrid/>
        <w:spacing w:line="360" w:lineRule="auto"/>
        <w:ind w:left="0" w:leftChars="0" w:firstLine="1879" w:firstLineChars="783"/>
        <w:jc w:val="left"/>
        <w:textAlignment w:val="auto"/>
        <w:rPr>
          <w:rFonts w:hint="eastAsia" w:ascii="仿宋" w:hAnsi="仿宋" w:eastAsia="仿宋" w:cs="仿宋"/>
          <w:color w:val="auto"/>
          <w:spacing w:val="0"/>
          <w:kern w:val="21"/>
          <w:highlight w:val="none"/>
        </w:rPr>
      </w:pPr>
      <w:r>
        <w:rPr>
          <w:rFonts w:hint="eastAsia" w:ascii="仿宋" w:hAnsi="仿宋" w:eastAsia="仿宋" w:cs="仿宋"/>
          <w:color w:val="auto"/>
          <w:spacing w:val="0"/>
          <w:kern w:val="21"/>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p>
    <w:p w14:paraId="6EA4FDF5">
      <w:pPr>
        <w:pStyle w:val="17"/>
        <w:rPr>
          <w:rFonts w:hint="eastAsia" w:ascii="仿宋" w:hAnsi="仿宋" w:eastAsia="仿宋" w:cs="仿宋"/>
          <w:color w:val="auto"/>
          <w:highlight w:val="none"/>
        </w:rPr>
      </w:pPr>
    </w:p>
    <w:p w14:paraId="17DC8576">
      <w:pPr>
        <w:widowControl/>
        <w:snapToGrid w:val="0"/>
        <w:spacing w:line="360" w:lineRule="auto"/>
        <w:jc w:val="both"/>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lang w:val="en-US" w:eastAsia="zh-CN"/>
        </w:rPr>
        <w:t>9</w:t>
      </w:r>
      <w:r>
        <w:rPr>
          <w:rFonts w:hint="eastAsia" w:ascii="仿宋" w:hAnsi="仿宋" w:eastAsia="仿宋" w:cs="仿宋"/>
          <w:b/>
          <w:color w:val="auto"/>
          <w:kern w:val="0"/>
          <w:sz w:val="24"/>
          <w:szCs w:val="24"/>
          <w:highlight w:val="none"/>
        </w:rPr>
        <w:t>.</w:t>
      </w:r>
      <w:r>
        <w:rPr>
          <w:rFonts w:hint="eastAsia" w:ascii="仿宋" w:hAnsi="仿宋" w:eastAsia="仿宋" w:cs="仿宋"/>
          <w:b/>
          <w:color w:val="auto"/>
          <w:kern w:val="0"/>
          <w:sz w:val="24"/>
          <w:szCs w:val="24"/>
          <w:highlight w:val="none"/>
          <w:lang w:val="en-US" w:eastAsia="zh-CN"/>
        </w:rPr>
        <w:t>采购货物主要技术指标和运行性能的详细描述；</w:t>
      </w:r>
    </w:p>
    <w:p w14:paraId="09288B89">
      <w:pP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br w:type="page"/>
      </w:r>
    </w:p>
    <w:p w14:paraId="33D08304">
      <w:pPr>
        <w:widowControl/>
        <w:snapToGrid w:val="0"/>
        <w:spacing w:line="360" w:lineRule="auto"/>
        <w:jc w:val="both"/>
        <w:rPr>
          <w:rFonts w:hint="eastAsia" w:ascii="仿宋" w:hAnsi="仿宋" w:eastAsia="仿宋" w:cs="仿宋"/>
          <w:color w:val="auto"/>
          <w:kern w:val="0"/>
          <w:sz w:val="24"/>
          <w:szCs w:val="24"/>
          <w:highlight w:val="none"/>
        </w:rPr>
      </w:pPr>
      <w:r>
        <w:rPr>
          <w:rFonts w:hint="eastAsia" w:ascii="仿宋" w:hAnsi="仿宋" w:eastAsia="仿宋" w:cs="仿宋"/>
          <w:b/>
          <w:color w:val="auto"/>
          <w:kern w:val="0"/>
          <w:sz w:val="24"/>
          <w:szCs w:val="24"/>
          <w:highlight w:val="none"/>
          <w:lang w:val="en-US" w:eastAsia="zh-CN"/>
        </w:rPr>
        <w:t>10.</w:t>
      </w:r>
      <w:r>
        <w:rPr>
          <w:rFonts w:hint="eastAsia" w:ascii="仿宋" w:hAnsi="仿宋" w:eastAsia="仿宋" w:cs="仿宋"/>
          <w:b/>
          <w:color w:val="auto"/>
          <w:kern w:val="0"/>
          <w:sz w:val="24"/>
          <w:szCs w:val="24"/>
          <w:highlight w:val="none"/>
        </w:rPr>
        <w:t>针对本项目的</w:t>
      </w:r>
      <w:r>
        <w:rPr>
          <w:rFonts w:hint="eastAsia" w:ascii="仿宋" w:hAnsi="仿宋" w:eastAsia="仿宋" w:cs="仿宋"/>
          <w:b/>
          <w:color w:val="auto"/>
          <w:kern w:val="0"/>
          <w:sz w:val="24"/>
          <w:szCs w:val="24"/>
          <w:highlight w:val="none"/>
          <w:lang w:val="en-US" w:eastAsia="zh-CN"/>
        </w:rPr>
        <w:t>技术</w:t>
      </w:r>
      <w:r>
        <w:rPr>
          <w:rFonts w:hint="eastAsia" w:ascii="仿宋" w:hAnsi="仿宋" w:eastAsia="仿宋" w:cs="仿宋"/>
          <w:b/>
          <w:color w:val="auto"/>
          <w:kern w:val="0"/>
          <w:sz w:val="24"/>
          <w:szCs w:val="24"/>
          <w:highlight w:val="none"/>
        </w:rPr>
        <w:t>方案</w:t>
      </w:r>
      <w:r>
        <w:rPr>
          <w:rFonts w:hint="eastAsia" w:ascii="仿宋" w:hAnsi="仿宋" w:eastAsia="仿宋" w:cs="仿宋"/>
          <w:color w:val="auto"/>
          <w:kern w:val="0"/>
          <w:sz w:val="24"/>
          <w:szCs w:val="24"/>
          <w:highlight w:val="none"/>
        </w:rPr>
        <w:t>（格式自拟）；</w:t>
      </w:r>
    </w:p>
    <w:p w14:paraId="42968917">
      <w:pPr>
        <w:widowControl/>
        <w:tabs>
          <w:tab w:val="left" w:pos="567"/>
        </w:tabs>
        <w:snapToGrid w:val="0"/>
        <w:spacing w:line="360" w:lineRule="auto"/>
        <w:jc w:val="both"/>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lang w:val="en-US" w:eastAsia="zh-CN"/>
        </w:rPr>
        <w:t>11</w:t>
      </w:r>
      <w:r>
        <w:rPr>
          <w:rFonts w:hint="eastAsia" w:ascii="仿宋" w:hAnsi="仿宋" w:eastAsia="仿宋" w:cs="仿宋"/>
          <w:b/>
          <w:color w:val="auto"/>
          <w:kern w:val="0"/>
          <w:sz w:val="24"/>
          <w:szCs w:val="24"/>
          <w:highlight w:val="none"/>
        </w:rPr>
        <w:t>．项目人员机构的配备</w:t>
      </w:r>
      <w:r>
        <w:rPr>
          <w:rFonts w:hint="eastAsia" w:ascii="仿宋" w:hAnsi="仿宋" w:eastAsia="仿宋" w:cs="仿宋"/>
          <w:color w:val="auto"/>
          <w:kern w:val="0"/>
          <w:sz w:val="24"/>
          <w:szCs w:val="24"/>
          <w:highlight w:val="none"/>
        </w:rPr>
        <w:t>（格式自拟）</w:t>
      </w:r>
    </w:p>
    <w:p w14:paraId="1E1E5125">
      <w:pPr>
        <w:widowControl/>
        <w:tabs>
          <w:tab w:val="left" w:pos="567"/>
        </w:tabs>
        <w:snapToGrid w:val="0"/>
        <w:spacing w:line="360" w:lineRule="auto"/>
        <w:jc w:val="both"/>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lang w:val="en-US" w:eastAsia="zh-CN"/>
        </w:rPr>
        <w:t>12</w:t>
      </w:r>
      <w:r>
        <w:rPr>
          <w:rFonts w:hint="eastAsia" w:ascii="仿宋" w:hAnsi="仿宋" w:eastAsia="仿宋" w:cs="仿宋"/>
          <w:b/>
          <w:color w:val="auto"/>
          <w:kern w:val="0"/>
          <w:sz w:val="24"/>
          <w:szCs w:val="24"/>
          <w:highlight w:val="none"/>
        </w:rPr>
        <w:t>.供应商认为需要提供的其他商务技术材料</w:t>
      </w:r>
    </w:p>
    <w:p w14:paraId="378081AD">
      <w:pPr>
        <w:keepNext w:val="0"/>
        <w:keepLines w:val="0"/>
        <w:pageBreakBefore w:val="0"/>
        <w:kinsoku/>
        <w:wordWrap/>
        <w:overflowPunct/>
        <w:topLinePunct w:val="0"/>
        <w:autoSpaceDE/>
        <w:autoSpaceDN/>
        <w:bidi w:val="0"/>
        <w:adjustRightInd/>
        <w:spacing w:line="360" w:lineRule="auto"/>
        <w:textAlignment w:val="auto"/>
        <w:outlineLvl w:val="0"/>
        <w:rPr>
          <w:rFonts w:hint="eastAsia" w:ascii="仿宋" w:hAnsi="仿宋" w:eastAsia="仿宋" w:cs="仿宋"/>
          <w:b/>
          <w:color w:val="auto"/>
          <w:kern w:val="0"/>
          <w:sz w:val="24"/>
          <w:szCs w:val="24"/>
          <w:highlight w:val="none"/>
          <w:lang w:eastAsia="zh-CN"/>
        </w:rPr>
      </w:pPr>
      <w:r>
        <w:rPr>
          <w:rFonts w:hint="eastAsia" w:ascii="仿宋" w:hAnsi="仿宋" w:eastAsia="仿宋" w:cs="仿宋"/>
          <w:b/>
          <w:color w:val="auto"/>
          <w:kern w:val="0"/>
          <w:highlight w:val="none"/>
        </w:rPr>
        <w:br w:type="page"/>
      </w:r>
      <w:r>
        <w:rPr>
          <w:rFonts w:hint="eastAsia" w:ascii="仿宋" w:hAnsi="仿宋" w:eastAsia="仿宋" w:cs="仿宋"/>
          <w:b/>
          <w:color w:val="auto"/>
          <w:kern w:val="0"/>
          <w:sz w:val="24"/>
          <w:szCs w:val="24"/>
          <w:highlight w:val="none"/>
          <w:lang w:val="en-US" w:eastAsia="zh-CN"/>
        </w:rPr>
        <w:t xml:space="preserve">第八部分  </w:t>
      </w:r>
      <w:r>
        <w:rPr>
          <w:rFonts w:hint="eastAsia" w:ascii="仿宋" w:hAnsi="仿宋" w:eastAsia="仿宋" w:cs="仿宋"/>
          <w:b/>
          <w:color w:val="auto"/>
          <w:kern w:val="0"/>
          <w:sz w:val="24"/>
          <w:szCs w:val="24"/>
          <w:highlight w:val="none"/>
        </w:rPr>
        <w:t>政策性要求</w:t>
      </w:r>
      <w:r>
        <w:rPr>
          <w:rFonts w:hint="eastAsia" w:ascii="仿宋" w:hAnsi="仿宋" w:eastAsia="仿宋" w:cs="仿宋"/>
          <w:b/>
          <w:color w:val="auto"/>
          <w:kern w:val="0"/>
          <w:sz w:val="24"/>
          <w:szCs w:val="24"/>
          <w:highlight w:val="none"/>
          <w:lang w:eastAsia="zh-CN"/>
        </w:rPr>
        <w:t>（</w:t>
      </w:r>
      <w:r>
        <w:rPr>
          <w:rFonts w:hint="eastAsia" w:ascii="仿宋" w:hAnsi="仿宋" w:eastAsia="仿宋" w:cs="仿宋"/>
          <w:b/>
          <w:color w:val="auto"/>
          <w:kern w:val="0"/>
          <w:sz w:val="24"/>
          <w:szCs w:val="24"/>
          <w:highlight w:val="none"/>
          <w:lang w:val="en-US" w:eastAsia="zh-CN"/>
        </w:rPr>
        <w:t>如有</w:t>
      </w:r>
      <w:r>
        <w:rPr>
          <w:rFonts w:hint="eastAsia" w:ascii="仿宋" w:hAnsi="仿宋" w:eastAsia="仿宋" w:cs="仿宋"/>
          <w:b/>
          <w:color w:val="auto"/>
          <w:kern w:val="0"/>
          <w:sz w:val="24"/>
          <w:szCs w:val="24"/>
          <w:highlight w:val="none"/>
          <w:lang w:eastAsia="zh-CN"/>
        </w:rPr>
        <w:t>）</w:t>
      </w:r>
    </w:p>
    <w:p w14:paraId="1AB867CF">
      <w:pPr>
        <w:tabs>
          <w:tab w:val="left" w:pos="1680"/>
        </w:tabs>
        <w:snapToGrid w:val="0"/>
        <w:spacing w:line="360" w:lineRule="auto"/>
        <w:rPr>
          <w:rFonts w:hint="eastAsia" w:ascii="仿宋" w:hAnsi="仿宋" w:eastAsia="仿宋" w:cs="仿宋"/>
          <w:b/>
          <w:bCs w:val="0"/>
          <w:sz w:val="24"/>
          <w:szCs w:val="24"/>
          <w:highlight w:val="none"/>
        </w:rPr>
      </w:pPr>
      <w:r>
        <w:rPr>
          <w:rFonts w:hint="eastAsia" w:ascii="仿宋" w:hAnsi="仿宋" w:eastAsia="仿宋" w:cs="仿宋"/>
          <w:b/>
          <w:bCs w:val="0"/>
          <w:kern w:val="0"/>
          <w:sz w:val="24"/>
          <w:szCs w:val="24"/>
          <w:highlight w:val="none"/>
        </w:rPr>
        <w:t>（一）</w:t>
      </w:r>
      <w:r>
        <w:rPr>
          <w:rFonts w:hint="eastAsia" w:ascii="仿宋" w:hAnsi="仿宋" w:eastAsia="仿宋" w:cs="仿宋"/>
          <w:b/>
          <w:bCs w:val="0"/>
          <w:sz w:val="24"/>
          <w:szCs w:val="24"/>
          <w:highlight w:val="none"/>
        </w:rPr>
        <w:t>强制节能产品(如不涉及，可不提供）</w:t>
      </w:r>
    </w:p>
    <w:p w14:paraId="4215B7C6">
      <w:pPr>
        <w:tabs>
          <w:tab w:val="left" w:pos="1680"/>
        </w:tabs>
        <w:snapToGrid w:val="0"/>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强制节能产品明细表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134"/>
        <w:gridCol w:w="955"/>
        <w:gridCol w:w="1134"/>
        <w:gridCol w:w="1701"/>
        <w:gridCol w:w="1701"/>
        <w:gridCol w:w="1701"/>
      </w:tblGrid>
      <w:tr w14:paraId="2CBA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38" w:type="dxa"/>
            <w:noWrap w:val="0"/>
            <w:vAlign w:val="center"/>
          </w:tcPr>
          <w:p w14:paraId="54C7B83F">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包号</w:t>
            </w:r>
          </w:p>
        </w:tc>
        <w:tc>
          <w:tcPr>
            <w:tcW w:w="1134" w:type="dxa"/>
            <w:noWrap w:val="0"/>
            <w:vAlign w:val="center"/>
          </w:tcPr>
          <w:p w14:paraId="0D9F8216">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产品名称</w:t>
            </w:r>
          </w:p>
        </w:tc>
        <w:tc>
          <w:tcPr>
            <w:tcW w:w="955" w:type="dxa"/>
            <w:noWrap w:val="0"/>
            <w:vAlign w:val="center"/>
          </w:tcPr>
          <w:p w14:paraId="791C2073">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制造商</w:t>
            </w:r>
          </w:p>
        </w:tc>
        <w:tc>
          <w:tcPr>
            <w:tcW w:w="1134" w:type="dxa"/>
            <w:noWrap w:val="0"/>
            <w:vAlign w:val="center"/>
          </w:tcPr>
          <w:p w14:paraId="6FBA39DB">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产品型号</w:t>
            </w:r>
          </w:p>
        </w:tc>
        <w:tc>
          <w:tcPr>
            <w:tcW w:w="1701" w:type="dxa"/>
            <w:noWrap w:val="0"/>
            <w:vAlign w:val="center"/>
          </w:tcPr>
          <w:p w14:paraId="08DEB01B">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节能产品</w:t>
            </w:r>
          </w:p>
          <w:p w14:paraId="1E68AE23">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认证证书号</w:t>
            </w:r>
          </w:p>
        </w:tc>
        <w:tc>
          <w:tcPr>
            <w:tcW w:w="1701" w:type="dxa"/>
            <w:noWrap w:val="0"/>
            <w:vAlign w:val="center"/>
          </w:tcPr>
          <w:p w14:paraId="327DC989">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认证证书</w:t>
            </w:r>
          </w:p>
          <w:p w14:paraId="42B5BA7B">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有效截止日期</w:t>
            </w:r>
          </w:p>
        </w:tc>
        <w:tc>
          <w:tcPr>
            <w:tcW w:w="1701" w:type="dxa"/>
            <w:noWrap w:val="0"/>
            <w:vAlign w:val="center"/>
          </w:tcPr>
          <w:p w14:paraId="31EE5081">
            <w:pPr>
              <w:spacing w:line="240" w:lineRule="exact"/>
              <w:ind w:firstLine="0" w:firstLineChars="0"/>
              <w:jc w:val="center"/>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认证机构名录</w:t>
            </w:r>
          </w:p>
        </w:tc>
      </w:tr>
      <w:tr w14:paraId="68A9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38" w:type="dxa"/>
            <w:noWrap w:val="0"/>
            <w:vAlign w:val="top"/>
          </w:tcPr>
          <w:p w14:paraId="7D0AD7AC">
            <w:pPr>
              <w:spacing w:line="360" w:lineRule="exact"/>
              <w:ind w:firstLine="0" w:firstLineChars="0"/>
              <w:rPr>
                <w:rFonts w:hint="eastAsia" w:ascii="仿宋" w:hAnsi="仿宋" w:eastAsia="仿宋" w:cs="仿宋"/>
                <w:b/>
                <w:color w:val="000000"/>
                <w:sz w:val="21"/>
                <w:szCs w:val="21"/>
                <w:highlight w:val="none"/>
              </w:rPr>
            </w:pPr>
          </w:p>
        </w:tc>
        <w:tc>
          <w:tcPr>
            <w:tcW w:w="1134" w:type="dxa"/>
            <w:noWrap w:val="0"/>
            <w:vAlign w:val="top"/>
          </w:tcPr>
          <w:p w14:paraId="415C6914">
            <w:pPr>
              <w:spacing w:line="360" w:lineRule="exact"/>
              <w:ind w:firstLine="0" w:firstLineChars="0"/>
              <w:rPr>
                <w:rFonts w:hint="eastAsia" w:ascii="仿宋" w:hAnsi="仿宋" w:eastAsia="仿宋" w:cs="仿宋"/>
                <w:b/>
                <w:color w:val="000000"/>
                <w:sz w:val="21"/>
                <w:szCs w:val="21"/>
                <w:highlight w:val="none"/>
              </w:rPr>
            </w:pPr>
          </w:p>
        </w:tc>
        <w:tc>
          <w:tcPr>
            <w:tcW w:w="955" w:type="dxa"/>
            <w:noWrap w:val="0"/>
            <w:vAlign w:val="top"/>
          </w:tcPr>
          <w:p w14:paraId="7D100333">
            <w:pPr>
              <w:spacing w:line="360" w:lineRule="exact"/>
              <w:ind w:firstLine="0" w:firstLineChars="0"/>
              <w:rPr>
                <w:rFonts w:hint="eastAsia" w:ascii="仿宋" w:hAnsi="仿宋" w:eastAsia="仿宋" w:cs="仿宋"/>
                <w:b/>
                <w:color w:val="000000"/>
                <w:sz w:val="21"/>
                <w:szCs w:val="21"/>
                <w:highlight w:val="none"/>
              </w:rPr>
            </w:pPr>
          </w:p>
        </w:tc>
        <w:tc>
          <w:tcPr>
            <w:tcW w:w="1134" w:type="dxa"/>
            <w:noWrap w:val="0"/>
            <w:vAlign w:val="top"/>
          </w:tcPr>
          <w:p w14:paraId="4A0C5D75">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3110E25D">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47384855">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3DC924C0">
            <w:pPr>
              <w:spacing w:line="360" w:lineRule="exact"/>
              <w:ind w:firstLine="0" w:firstLineChars="0"/>
              <w:rPr>
                <w:rFonts w:hint="eastAsia" w:ascii="仿宋" w:hAnsi="仿宋" w:eastAsia="仿宋" w:cs="仿宋"/>
                <w:b/>
                <w:color w:val="000000"/>
                <w:sz w:val="21"/>
                <w:szCs w:val="21"/>
                <w:highlight w:val="none"/>
              </w:rPr>
            </w:pPr>
          </w:p>
        </w:tc>
      </w:tr>
      <w:tr w14:paraId="332B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38" w:type="dxa"/>
            <w:noWrap w:val="0"/>
            <w:vAlign w:val="top"/>
          </w:tcPr>
          <w:p w14:paraId="7834C22D">
            <w:pPr>
              <w:spacing w:line="360" w:lineRule="exact"/>
              <w:ind w:firstLine="0" w:firstLineChars="0"/>
              <w:rPr>
                <w:rFonts w:hint="eastAsia" w:ascii="仿宋" w:hAnsi="仿宋" w:eastAsia="仿宋" w:cs="仿宋"/>
                <w:b/>
                <w:color w:val="000000"/>
                <w:sz w:val="21"/>
                <w:szCs w:val="21"/>
                <w:highlight w:val="none"/>
              </w:rPr>
            </w:pPr>
          </w:p>
        </w:tc>
        <w:tc>
          <w:tcPr>
            <w:tcW w:w="1134" w:type="dxa"/>
            <w:noWrap w:val="0"/>
            <w:vAlign w:val="top"/>
          </w:tcPr>
          <w:p w14:paraId="64F03AE2">
            <w:pPr>
              <w:spacing w:line="360" w:lineRule="exact"/>
              <w:ind w:firstLine="0" w:firstLineChars="0"/>
              <w:rPr>
                <w:rFonts w:hint="eastAsia" w:ascii="仿宋" w:hAnsi="仿宋" w:eastAsia="仿宋" w:cs="仿宋"/>
                <w:b/>
                <w:color w:val="000000"/>
                <w:sz w:val="21"/>
                <w:szCs w:val="21"/>
                <w:highlight w:val="none"/>
              </w:rPr>
            </w:pPr>
          </w:p>
        </w:tc>
        <w:tc>
          <w:tcPr>
            <w:tcW w:w="955" w:type="dxa"/>
            <w:noWrap w:val="0"/>
            <w:vAlign w:val="top"/>
          </w:tcPr>
          <w:p w14:paraId="2D1D8A5F">
            <w:pPr>
              <w:spacing w:line="360" w:lineRule="exact"/>
              <w:ind w:firstLine="0" w:firstLineChars="0"/>
              <w:rPr>
                <w:rFonts w:hint="eastAsia" w:ascii="仿宋" w:hAnsi="仿宋" w:eastAsia="仿宋" w:cs="仿宋"/>
                <w:b/>
                <w:color w:val="000000"/>
                <w:sz w:val="21"/>
                <w:szCs w:val="21"/>
                <w:highlight w:val="none"/>
              </w:rPr>
            </w:pPr>
          </w:p>
        </w:tc>
        <w:tc>
          <w:tcPr>
            <w:tcW w:w="1134" w:type="dxa"/>
            <w:noWrap w:val="0"/>
            <w:vAlign w:val="top"/>
          </w:tcPr>
          <w:p w14:paraId="329BC40C">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45B607A1">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6B539296">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52FD2FC4">
            <w:pPr>
              <w:spacing w:line="360" w:lineRule="exact"/>
              <w:ind w:firstLine="0" w:firstLineChars="0"/>
              <w:rPr>
                <w:rFonts w:hint="eastAsia" w:ascii="仿宋" w:hAnsi="仿宋" w:eastAsia="仿宋" w:cs="仿宋"/>
                <w:b/>
                <w:color w:val="000000"/>
                <w:sz w:val="21"/>
                <w:szCs w:val="21"/>
                <w:highlight w:val="none"/>
              </w:rPr>
            </w:pPr>
          </w:p>
        </w:tc>
      </w:tr>
      <w:tr w14:paraId="45B5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38" w:type="dxa"/>
            <w:noWrap w:val="0"/>
            <w:vAlign w:val="top"/>
          </w:tcPr>
          <w:p w14:paraId="6C3B0B7F">
            <w:pPr>
              <w:spacing w:line="360" w:lineRule="exact"/>
              <w:ind w:firstLine="0" w:firstLineChars="0"/>
              <w:rPr>
                <w:rFonts w:hint="eastAsia" w:ascii="仿宋" w:hAnsi="仿宋" w:eastAsia="仿宋" w:cs="仿宋"/>
                <w:b/>
                <w:color w:val="000000"/>
                <w:sz w:val="21"/>
                <w:szCs w:val="21"/>
                <w:highlight w:val="none"/>
              </w:rPr>
            </w:pPr>
          </w:p>
        </w:tc>
        <w:tc>
          <w:tcPr>
            <w:tcW w:w="1134" w:type="dxa"/>
            <w:noWrap w:val="0"/>
            <w:vAlign w:val="top"/>
          </w:tcPr>
          <w:p w14:paraId="3A85C985">
            <w:pPr>
              <w:spacing w:line="360" w:lineRule="exact"/>
              <w:ind w:firstLine="0" w:firstLineChars="0"/>
              <w:rPr>
                <w:rFonts w:hint="eastAsia" w:ascii="仿宋" w:hAnsi="仿宋" w:eastAsia="仿宋" w:cs="仿宋"/>
                <w:b/>
                <w:color w:val="000000"/>
                <w:sz w:val="21"/>
                <w:szCs w:val="21"/>
                <w:highlight w:val="none"/>
              </w:rPr>
            </w:pPr>
          </w:p>
        </w:tc>
        <w:tc>
          <w:tcPr>
            <w:tcW w:w="955" w:type="dxa"/>
            <w:noWrap w:val="0"/>
            <w:vAlign w:val="top"/>
          </w:tcPr>
          <w:p w14:paraId="5AE44A15">
            <w:pPr>
              <w:spacing w:line="360" w:lineRule="exact"/>
              <w:ind w:firstLine="0" w:firstLineChars="0"/>
              <w:rPr>
                <w:rFonts w:hint="eastAsia" w:ascii="仿宋" w:hAnsi="仿宋" w:eastAsia="仿宋" w:cs="仿宋"/>
                <w:b/>
                <w:color w:val="000000"/>
                <w:sz w:val="21"/>
                <w:szCs w:val="21"/>
                <w:highlight w:val="none"/>
              </w:rPr>
            </w:pPr>
          </w:p>
        </w:tc>
        <w:tc>
          <w:tcPr>
            <w:tcW w:w="1134" w:type="dxa"/>
            <w:noWrap w:val="0"/>
            <w:vAlign w:val="top"/>
          </w:tcPr>
          <w:p w14:paraId="24B7620F">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36EE714C">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7CA09C0C">
            <w:pPr>
              <w:spacing w:line="360" w:lineRule="exact"/>
              <w:ind w:firstLine="0" w:firstLineChars="0"/>
              <w:rPr>
                <w:rFonts w:hint="eastAsia" w:ascii="仿宋" w:hAnsi="仿宋" w:eastAsia="仿宋" w:cs="仿宋"/>
                <w:b/>
                <w:color w:val="000000"/>
                <w:sz w:val="21"/>
                <w:szCs w:val="21"/>
                <w:highlight w:val="none"/>
              </w:rPr>
            </w:pPr>
          </w:p>
        </w:tc>
        <w:tc>
          <w:tcPr>
            <w:tcW w:w="1701" w:type="dxa"/>
            <w:noWrap w:val="0"/>
            <w:vAlign w:val="top"/>
          </w:tcPr>
          <w:p w14:paraId="4C36BBAC">
            <w:pPr>
              <w:spacing w:line="360" w:lineRule="exact"/>
              <w:ind w:firstLine="0" w:firstLineChars="0"/>
              <w:rPr>
                <w:rFonts w:hint="eastAsia" w:ascii="仿宋" w:hAnsi="仿宋" w:eastAsia="仿宋" w:cs="仿宋"/>
                <w:b/>
                <w:color w:val="000000"/>
                <w:sz w:val="21"/>
                <w:szCs w:val="21"/>
                <w:highlight w:val="none"/>
              </w:rPr>
            </w:pPr>
          </w:p>
        </w:tc>
      </w:tr>
    </w:tbl>
    <w:p w14:paraId="2AA74A76">
      <w:pPr>
        <w:tabs>
          <w:tab w:val="left" w:pos="1680"/>
        </w:tabs>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1.“台式计算机、便携式计算机和平板式微型计算机、激光打印机、针式打印机、液晶显示器、制冷压缩机、空调机组、专用制冷空调设备、镇流器、空调机、电热水器、普通照明用双端荧光灯、电视设备、视频设备以及便器、水嘴等”，属于国家强制性采购产品，必须提供获得国家确定的认证机构出具的处于有效期之内的节能产品认证证书。</w:t>
      </w:r>
    </w:p>
    <w:p w14:paraId="6D35DF0F">
      <w:pPr>
        <w:tabs>
          <w:tab w:val="left" w:pos="1680"/>
        </w:tabs>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2.以包为单位分别填写，如本项目（包）或报价货物中不涉及强制节能产品，可不提供此表。</w:t>
      </w:r>
    </w:p>
    <w:p w14:paraId="758DD27D">
      <w:pPr>
        <w:tabs>
          <w:tab w:val="left" w:pos="1680"/>
        </w:tabs>
        <w:snapToGrid w:val="0"/>
        <w:spacing w:line="360" w:lineRule="auto"/>
        <w:rPr>
          <w:rFonts w:hint="eastAsia" w:ascii="仿宋" w:hAnsi="仿宋" w:eastAsia="仿宋" w:cs="仿宋"/>
          <w:bCs/>
          <w:sz w:val="24"/>
          <w:szCs w:val="24"/>
          <w:highlight w:val="none"/>
        </w:rPr>
      </w:pPr>
      <w:r>
        <w:rPr>
          <w:rFonts w:hint="eastAsia" w:ascii="仿宋" w:hAnsi="仿宋" w:eastAsia="仿宋" w:cs="仿宋"/>
          <w:sz w:val="24"/>
          <w:szCs w:val="24"/>
          <w:highlight w:val="none"/>
        </w:rPr>
        <w:t>3.采购货物中如含国家互联网信息办公室会同工业和信息化部、公安部、国家认证认可监督管理委员会等部门发布关于调整《网络关键设备和网络安全专用产品目录》的公告2023年第2号公布的《网络关键设备和网络安全专用产品目录》的网络安全专用产品，投报产品须提供具备资格的机构依据GB 42250《信息安全技术 网络安全专用产品安全技术要求》等相关国家标准强制性要求检测的安全认证合格或者安全检测符合要求的证明材料或对此前已经获得有效的《计算机信息系统安全专用产品销售许可证》证明材料附后。</w:t>
      </w:r>
    </w:p>
    <w:p w14:paraId="3C59EEBD">
      <w:pPr>
        <w:widowControl/>
        <w:tabs>
          <w:tab w:val="left" w:pos="4000"/>
        </w:tabs>
        <w:snapToGrid w:val="0"/>
        <w:spacing w:line="480" w:lineRule="auto"/>
        <w:ind w:firstLine="1920" w:firstLineChars="8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(盖章)</w:t>
      </w:r>
    </w:p>
    <w:p w14:paraId="006CC26E">
      <w:pPr>
        <w:spacing w:line="480" w:lineRule="auto"/>
        <w:ind w:left="1470" w:leftChars="700" w:firstLine="480"/>
        <w:rPr>
          <w:rFonts w:hint="eastAsia" w:ascii="仿宋" w:hAnsi="仿宋" w:eastAsia="仿宋" w:cs="仿宋"/>
          <w:color w:val="auto"/>
          <w:spacing w:val="0"/>
          <w:kern w:val="21"/>
          <w:sz w:val="24"/>
          <w:szCs w:val="24"/>
          <w:highlight w:val="none"/>
          <w:u w:val="single"/>
        </w:rPr>
      </w:pPr>
      <w:r>
        <w:rPr>
          <w:rFonts w:hint="eastAsia" w:ascii="仿宋" w:hAnsi="仿宋" w:eastAsia="仿宋" w:cs="仿宋"/>
          <w:color w:val="auto"/>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p>
    <w:p w14:paraId="31C26353">
      <w:pPr>
        <w:spacing w:line="480" w:lineRule="auto"/>
        <w:ind w:left="1470" w:leftChars="700" w:firstLine="480"/>
        <w:rPr>
          <w:rFonts w:hint="eastAsia" w:ascii="仿宋" w:hAnsi="仿宋" w:eastAsia="仿宋" w:cs="仿宋"/>
          <w:color w:val="auto"/>
          <w:spacing w:val="0"/>
          <w:kern w:val="21"/>
          <w:sz w:val="24"/>
          <w:szCs w:val="24"/>
          <w:highlight w:val="none"/>
          <w:u w:val="single"/>
        </w:rPr>
      </w:pPr>
    </w:p>
    <w:p w14:paraId="30DDAFCC">
      <w:pP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注：1</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采购货物中如含有强制节能产品的，须如实填写强制节能产品明细表；</w:t>
      </w:r>
    </w:p>
    <w:p w14:paraId="3BAE9295">
      <w:pPr>
        <w:rPr>
          <w:rFonts w:hint="eastAsia" w:ascii="仿宋" w:hAnsi="仿宋" w:eastAsia="仿宋" w:cs="仿宋"/>
          <w:b/>
          <w:bCs w:val="0"/>
          <w:kern w:val="0"/>
          <w:sz w:val="24"/>
          <w:szCs w:val="24"/>
          <w:highlight w:val="none"/>
        </w:rPr>
      </w:pPr>
      <w:r>
        <w:rPr>
          <w:rFonts w:hint="eastAsia" w:ascii="仿宋" w:hAnsi="仿宋" w:eastAsia="仿宋" w:cs="仿宋"/>
          <w:b/>
          <w:bCs/>
          <w:sz w:val="24"/>
          <w:szCs w:val="24"/>
          <w:highlight w:val="none"/>
        </w:rPr>
        <w:t>2</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提供所投产品获得国家确定的认证机构出具的、处于有效期之内的产品认证证书。</w:t>
      </w:r>
      <w:r>
        <w:rPr>
          <w:rFonts w:hint="eastAsia" w:ascii="仿宋" w:hAnsi="仿宋" w:eastAsia="仿宋" w:cs="仿宋"/>
          <w:b/>
          <w:color w:val="auto"/>
          <w:highlight w:val="none"/>
        </w:rPr>
        <w:br w:type="page"/>
      </w:r>
      <w:r>
        <w:rPr>
          <w:rFonts w:hint="eastAsia" w:ascii="仿宋" w:hAnsi="仿宋" w:eastAsia="仿宋" w:cs="仿宋"/>
          <w:b/>
          <w:bCs w:val="0"/>
          <w:kern w:val="0"/>
          <w:sz w:val="24"/>
          <w:szCs w:val="24"/>
          <w:highlight w:val="none"/>
        </w:rPr>
        <w:t>（二）非强制节能、环保标志产品(如不涉及，可不提供）</w:t>
      </w:r>
    </w:p>
    <w:p w14:paraId="77D15A70">
      <w:pPr>
        <w:tabs>
          <w:tab w:val="left" w:pos="1680"/>
        </w:tabs>
        <w:snapToGrid w:val="0"/>
        <w:spacing w:line="360" w:lineRule="auto"/>
        <w:jc w:val="center"/>
        <w:rPr>
          <w:rFonts w:hint="eastAsia" w:ascii="仿宋" w:hAnsi="仿宋" w:eastAsia="仿宋" w:cs="仿宋"/>
          <w:b/>
          <w:sz w:val="24"/>
          <w:szCs w:val="24"/>
          <w:highlight w:val="none"/>
          <w:lang w:val="en-US" w:eastAsia="zh-CN"/>
        </w:rPr>
      </w:pPr>
    </w:p>
    <w:p w14:paraId="7D665185">
      <w:pPr>
        <w:tabs>
          <w:tab w:val="left" w:pos="1680"/>
        </w:tabs>
        <w:snapToGrid w:val="0"/>
        <w:spacing w:line="360" w:lineRule="auto"/>
        <w:jc w:val="center"/>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非强制节能产品明细表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243"/>
        <w:gridCol w:w="1108"/>
        <w:gridCol w:w="1125"/>
        <w:gridCol w:w="1618"/>
        <w:gridCol w:w="1494"/>
        <w:gridCol w:w="1549"/>
      </w:tblGrid>
      <w:tr w14:paraId="2330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697" w:type="dxa"/>
            <w:vAlign w:val="center"/>
          </w:tcPr>
          <w:p w14:paraId="5922A5D1">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包号</w:t>
            </w:r>
          </w:p>
        </w:tc>
        <w:tc>
          <w:tcPr>
            <w:tcW w:w="1243" w:type="dxa"/>
            <w:vAlign w:val="center"/>
          </w:tcPr>
          <w:p w14:paraId="6CCAFAE7">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产品名称</w:t>
            </w:r>
          </w:p>
        </w:tc>
        <w:tc>
          <w:tcPr>
            <w:tcW w:w="1108" w:type="dxa"/>
            <w:vAlign w:val="center"/>
          </w:tcPr>
          <w:p w14:paraId="103311AC">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制造商</w:t>
            </w:r>
          </w:p>
        </w:tc>
        <w:tc>
          <w:tcPr>
            <w:tcW w:w="1125" w:type="dxa"/>
            <w:vAlign w:val="center"/>
          </w:tcPr>
          <w:p w14:paraId="3BBC70C6">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产品型号</w:t>
            </w:r>
          </w:p>
        </w:tc>
        <w:tc>
          <w:tcPr>
            <w:tcW w:w="1618" w:type="dxa"/>
            <w:vAlign w:val="center"/>
          </w:tcPr>
          <w:p w14:paraId="46966214">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节能产品认证证书号</w:t>
            </w:r>
          </w:p>
        </w:tc>
        <w:tc>
          <w:tcPr>
            <w:tcW w:w="1494" w:type="dxa"/>
            <w:vAlign w:val="center"/>
          </w:tcPr>
          <w:p w14:paraId="568402A5">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认证证书有效截止日期</w:t>
            </w:r>
          </w:p>
        </w:tc>
        <w:tc>
          <w:tcPr>
            <w:tcW w:w="1549" w:type="dxa"/>
            <w:vAlign w:val="center"/>
          </w:tcPr>
          <w:p w14:paraId="33DE6FC5">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认证机构名称</w:t>
            </w:r>
          </w:p>
        </w:tc>
      </w:tr>
      <w:tr w14:paraId="10BB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97" w:type="dxa"/>
          </w:tcPr>
          <w:p w14:paraId="693607C0">
            <w:pPr>
              <w:spacing w:line="360" w:lineRule="exact"/>
              <w:ind w:firstLine="0" w:firstLineChars="0"/>
              <w:rPr>
                <w:rFonts w:hint="eastAsia" w:ascii="仿宋" w:hAnsi="仿宋" w:eastAsia="仿宋" w:cs="仿宋"/>
                <w:b/>
                <w:color w:val="000000"/>
                <w:sz w:val="21"/>
                <w:szCs w:val="21"/>
                <w:highlight w:val="none"/>
              </w:rPr>
            </w:pPr>
          </w:p>
        </w:tc>
        <w:tc>
          <w:tcPr>
            <w:tcW w:w="1243" w:type="dxa"/>
          </w:tcPr>
          <w:p w14:paraId="4E73D7EA">
            <w:pPr>
              <w:spacing w:line="360" w:lineRule="exact"/>
              <w:ind w:firstLine="0" w:firstLineChars="0"/>
              <w:rPr>
                <w:rFonts w:hint="eastAsia" w:ascii="仿宋" w:hAnsi="仿宋" w:eastAsia="仿宋" w:cs="仿宋"/>
                <w:b/>
                <w:color w:val="000000"/>
                <w:sz w:val="21"/>
                <w:szCs w:val="21"/>
                <w:highlight w:val="none"/>
              </w:rPr>
            </w:pPr>
          </w:p>
        </w:tc>
        <w:tc>
          <w:tcPr>
            <w:tcW w:w="1108" w:type="dxa"/>
          </w:tcPr>
          <w:p w14:paraId="6441C18B">
            <w:pPr>
              <w:spacing w:line="360" w:lineRule="exact"/>
              <w:ind w:firstLine="0" w:firstLineChars="0"/>
              <w:rPr>
                <w:rFonts w:hint="eastAsia" w:ascii="仿宋" w:hAnsi="仿宋" w:eastAsia="仿宋" w:cs="仿宋"/>
                <w:b/>
                <w:color w:val="000000"/>
                <w:sz w:val="21"/>
                <w:szCs w:val="21"/>
                <w:highlight w:val="none"/>
              </w:rPr>
            </w:pPr>
          </w:p>
        </w:tc>
        <w:tc>
          <w:tcPr>
            <w:tcW w:w="1125" w:type="dxa"/>
          </w:tcPr>
          <w:p w14:paraId="1DBC01F2">
            <w:pPr>
              <w:spacing w:line="360" w:lineRule="exact"/>
              <w:ind w:firstLine="0" w:firstLineChars="0"/>
              <w:rPr>
                <w:rFonts w:hint="eastAsia" w:ascii="仿宋" w:hAnsi="仿宋" w:eastAsia="仿宋" w:cs="仿宋"/>
                <w:b/>
                <w:color w:val="000000"/>
                <w:sz w:val="21"/>
                <w:szCs w:val="21"/>
                <w:highlight w:val="none"/>
              </w:rPr>
            </w:pPr>
          </w:p>
        </w:tc>
        <w:tc>
          <w:tcPr>
            <w:tcW w:w="1618" w:type="dxa"/>
          </w:tcPr>
          <w:p w14:paraId="6C0D2757">
            <w:pPr>
              <w:spacing w:line="360" w:lineRule="exact"/>
              <w:ind w:firstLine="0" w:firstLineChars="0"/>
              <w:rPr>
                <w:rFonts w:hint="eastAsia" w:ascii="仿宋" w:hAnsi="仿宋" w:eastAsia="仿宋" w:cs="仿宋"/>
                <w:b/>
                <w:color w:val="000000"/>
                <w:sz w:val="21"/>
                <w:szCs w:val="21"/>
                <w:highlight w:val="none"/>
              </w:rPr>
            </w:pPr>
          </w:p>
        </w:tc>
        <w:tc>
          <w:tcPr>
            <w:tcW w:w="1494" w:type="dxa"/>
          </w:tcPr>
          <w:p w14:paraId="09E5415C">
            <w:pPr>
              <w:spacing w:line="360" w:lineRule="exact"/>
              <w:ind w:firstLine="0" w:firstLineChars="0"/>
              <w:rPr>
                <w:rFonts w:hint="eastAsia" w:ascii="仿宋" w:hAnsi="仿宋" w:eastAsia="仿宋" w:cs="仿宋"/>
                <w:b/>
                <w:color w:val="000000"/>
                <w:sz w:val="21"/>
                <w:szCs w:val="21"/>
                <w:highlight w:val="none"/>
              </w:rPr>
            </w:pPr>
          </w:p>
        </w:tc>
        <w:tc>
          <w:tcPr>
            <w:tcW w:w="1549" w:type="dxa"/>
          </w:tcPr>
          <w:p w14:paraId="1D03BBD1">
            <w:pPr>
              <w:spacing w:line="360" w:lineRule="exact"/>
              <w:ind w:firstLine="0" w:firstLineChars="0"/>
              <w:rPr>
                <w:rFonts w:hint="eastAsia" w:ascii="仿宋" w:hAnsi="仿宋" w:eastAsia="仿宋" w:cs="仿宋"/>
                <w:b/>
                <w:color w:val="000000"/>
                <w:sz w:val="21"/>
                <w:szCs w:val="21"/>
                <w:highlight w:val="none"/>
              </w:rPr>
            </w:pPr>
          </w:p>
        </w:tc>
      </w:tr>
      <w:tr w14:paraId="0220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97" w:type="dxa"/>
          </w:tcPr>
          <w:p w14:paraId="5B796081">
            <w:pPr>
              <w:spacing w:line="360" w:lineRule="exact"/>
              <w:ind w:firstLine="0" w:firstLineChars="0"/>
              <w:rPr>
                <w:rFonts w:hint="eastAsia" w:ascii="仿宋" w:hAnsi="仿宋" w:eastAsia="仿宋" w:cs="仿宋"/>
                <w:b/>
                <w:color w:val="000000"/>
                <w:sz w:val="21"/>
                <w:szCs w:val="21"/>
                <w:highlight w:val="none"/>
              </w:rPr>
            </w:pPr>
          </w:p>
        </w:tc>
        <w:tc>
          <w:tcPr>
            <w:tcW w:w="1243" w:type="dxa"/>
          </w:tcPr>
          <w:p w14:paraId="24569B84">
            <w:pPr>
              <w:spacing w:line="360" w:lineRule="exact"/>
              <w:ind w:firstLine="0" w:firstLineChars="0"/>
              <w:rPr>
                <w:rFonts w:hint="eastAsia" w:ascii="仿宋" w:hAnsi="仿宋" w:eastAsia="仿宋" w:cs="仿宋"/>
                <w:b/>
                <w:color w:val="000000"/>
                <w:sz w:val="21"/>
                <w:szCs w:val="21"/>
                <w:highlight w:val="none"/>
              </w:rPr>
            </w:pPr>
          </w:p>
        </w:tc>
        <w:tc>
          <w:tcPr>
            <w:tcW w:w="1108" w:type="dxa"/>
          </w:tcPr>
          <w:p w14:paraId="0C44B142">
            <w:pPr>
              <w:spacing w:line="360" w:lineRule="exact"/>
              <w:ind w:firstLine="0" w:firstLineChars="0"/>
              <w:rPr>
                <w:rFonts w:hint="eastAsia" w:ascii="仿宋" w:hAnsi="仿宋" w:eastAsia="仿宋" w:cs="仿宋"/>
                <w:b/>
                <w:color w:val="000000"/>
                <w:sz w:val="21"/>
                <w:szCs w:val="21"/>
                <w:highlight w:val="none"/>
              </w:rPr>
            </w:pPr>
          </w:p>
        </w:tc>
        <w:tc>
          <w:tcPr>
            <w:tcW w:w="1125" w:type="dxa"/>
          </w:tcPr>
          <w:p w14:paraId="7A60FEBD">
            <w:pPr>
              <w:spacing w:line="360" w:lineRule="exact"/>
              <w:ind w:firstLine="0" w:firstLineChars="0"/>
              <w:rPr>
                <w:rFonts w:hint="eastAsia" w:ascii="仿宋" w:hAnsi="仿宋" w:eastAsia="仿宋" w:cs="仿宋"/>
                <w:b/>
                <w:color w:val="000000"/>
                <w:sz w:val="21"/>
                <w:szCs w:val="21"/>
                <w:highlight w:val="none"/>
              </w:rPr>
            </w:pPr>
          </w:p>
        </w:tc>
        <w:tc>
          <w:tcPr>
            <w:tcW w:w="1618" w:type="dxa"/>
          </w:tcPr>
          <w:p w14:paraId="23AD8123">
            <w:pPr>
              <w:spacing w:line="360" w:lineRule="exact"/>
              <w:ind w:firstLine="0" w:firstLineChars="0"/>
              <w:rPr>
                <w:rFonts w:hint="eastAsia" w:ascii="仿宋" w:hAnsi="仿宋" w:eastAsia="仿宋" w:cs="仿宋"/>
                <w:b/>
                <w:color w:val="000000"/>
                <w:sz w:val="21"/>
                <w:szCs w:val="21"/>
                <w:highlight w:val="none"/>
              </w:rPr>
            </w:pPr>
          </w:p>
        </w:tc>
        <w:tc>
          <w:tcPr>
            <w:tcW w:w="1494" w:type="dxa"/>
          </w:tcPr>
          <w:p w14:paraId="23484DD7">
            <w:pPr>
              <w:spacing w:line="360" w:lineRule="exact"/>
              <w:ind w:firstLine="0" w:firstLineChars="0"/>
              <w:rPr>
                <w:rFonts w:hint="eastAsia" w:ascii="仿宋" w:hAnsi="仿宋" w:eastAsia="仿宋" w:cs="仿宋"/>
                <w:b/>
                <w:color w:val="000000"/>
                <w:sz w:val="21"/>
                <w:szCs w:val="21"/>
                <w:highlight w:val="none"/>
              </w:rPr>
            </w:pPr>
          </w:p>
        </w:tc>
        <w:tc>
          <w:tcPr>
            <w:tcW w:w="1549" w:type="dxa"/>
          </w:tcPr>
          <w:p w14:paraId="734456D9">
            <w:pPr>
              <w:spacing w:line="360" w:lineRule="exact"/>
              <w:ind w:firstLine="0" w:firstLineChars="0"/>
              <w:rPr>
                <w:rFonts w:hint="eastAsia" w:ascii="仿宋" w:hAnsi="仿宋" w:eastAsia="仿宋" w:cs="仿宋"/>
                <w:b/>
                <w:color w:val="000000"/>
                <w:sz w:val="21"/>
                <w:szCs w:val="21"/>
                <w:highlight w:val="none"/>
              </w:rPr>
            </w:pPr>
          </w:p>
        </w:tc>
      </w:tr>
      <w:tr w14:paraId="5548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97" w:type="dxa"/>
          </w:tcPr>
          <w:p w14:paraId="738F2201">
            <w:pPr>
              <w:spacing w:line="360" w:lineRule="exact"/>
              <w:ind w:firstLine="0" w:firstLineChars="0"/>
              <w:rPr>
                <w:rFonts w:hint="eastAsia" w:ascii="仿宋" w:hAnsi="仿宋" w:eastAsia="仿宋" w:cs="仿宋"/>
                <w:b/>
                <w:color w:val="000000"/>
                <w:sz w:val="21"/>
                <w:szCs w:val="21"/>
                <w:highlight w:val="none"/>
              </w:rPr>
            </w:pPr>
          </w:p>
        </w:tc>
        <w:tc>
          <w:tcPr>
            <w:tcW w:w="1243" w:type="dxa"/>
          </w:tcPr>
          <w:p w14:paraId="5F42A139">
            <w:pPr>
              <w:spacing w:line="360" w:lineRule="exact"/>
              <w:ind w:firstLine="0" w:firstLineChars="0"/>
              <w:rPr>
                <w:rFonts w:hint="eastAsia" w:ascii="仿宋" w:hAnsi="仿宋" w:eastAsia="仿宋" w:cs="仿宋"/>
                <w:b/>
                <w:color w:val="000000"/>
                <w:sz w:val="21"/>
                <w:szCs w:val="21"/>
                <w:highlight w:val="none"/>
              </w:rPr>
            </w:pPr>
          </w:p>
        </w:tc>
        <w:tc>
          <w:tcPr>
            <w:tcW w:w="1108" w:type="dxa"/>
          </w:tcPr>
          <w:p w14:paraId="56650826">
            <w:pPr>
              <w:spacing w:line="360" w:lineRule="exact"/>
              <w:ind w:firstLine="0" w:firstLineChars="0"/>
              <w:rPr>
                <w:rFonts w:hint="eastAsia" w:ascii="仿宋" w:hAnsi="仿宋" w:eastAsia="仿宋" w:cs="仿宋"/>
                <w:b/>
                <w:color w:val="000000"/>
                <w:sz w:val="21"/>
                <w:szCs w:val="21"/>
                <w:highlight w:val="none"/>
              </w:rPr>
            </w:pPr>
          </w:p>
        </w:tc>
        <w:tc>
          <w:tcPr>
            <w:tcW w:w="1125" w:type="dxa"/>
          </w:tcPr>
          <w:p w14:paraId="1E0A673E">
            <w:pPr>
              <w:spacing w:line="360" w:lineRule="exact"/>
              <w:ind w:firstLine="0" w:firstLineChars="0"/>
              <w:rPr>
                <w:rFonts w:hint="eastAsia" w:ascii="仿宋" w:hAnsi="仿宋" w:eastAsia="仿宋" w:cs="仿宋"/>
                <w:b/>
                <w:color w:val="000000"/>
                <w:sz w:val="21"/>
                <w:szCs w:val="21"/>
                <w:highlight w:val="none"/>
              </w:rPr>
            </w:pPr>
          </w:p>
        </w:tc>
        <w:tc>
          <w:tcPr>
            <w:tcW w:w="1618" w:type="dxa"/>
          </w:tcPr>
          <w:p w14:paraId="11BE428E">
            <w:pPr>
              <w:spacing w:line="360" w:lineRule="exact"/>
              <w:ind w:firstLine="0" w:firstLineChars="0"/>
              <w:rPr>
                <w:rFonts w:hint="eastAsia" w:ascii="仿宋" w:hAnsi="仿宋" w:eastAsia="仿宋" w:cs="仿宋"/>
                <w:b/>
                <w:color w:val="000000"/>
                <w:sz w:val="21"/>
                <w:szCs w:val="21"/>
                <w:highlight w:val="none"/>
              </w:rPr>
            </w:pPr>
          </w:p>
        </w:tc>
        <w:tc>
          <w:tcPr>
            <w:tcW w:w="1494" w:type="dxa"/>
          </w:tcPr>
          <w:p w14:paraId="217340AB">
            <w:pPr>
              <w:spacing w:line="360" w:lineRule="exact"/>
              <w:ind w:firstLine="0" w:firstLineChars="0"/>
              <w:rPr>
                <w:rFonts w:hint="eastAsia" w:ascii="仿宋" w:hAnsi="仿宋" w:eastAsia="仿宋" w:cs="仿宋"/>
                <w:b/>
                <w:color w:val="000000"/>
                <w:sz w:val="21"/>
                <w:szCs w:val="21"/>
                <w:highlight w:val="none"/>
              </w:rPr>
            </w:pPr>
          </w:p>
        </w:tc>
        <w:tc>
          <w:tcPr>
            <w:tcW w:w="1549" w:type="dxa"/>
          </w:tcPr>
          <w:p w14:paraId="01FD0A86">
            <w:pPr>
              <w:spacing w:line="360" w:lineRule="exact"/>
              <w:ind w:firstLine="0" w:firstLineChars="0"/>
              <w:rPr>
                <w:rFonts w:hint="eastAsia" w:ascii="仿宋" w:hAnsi="仿宋" w:eastAsia="仿宋" w:cs="仿宋"/>
                <w:b/>
                <w:color w:val="000000"/>
                <w:sz w:val="21"/>
                <w:szCs w:val="21"/>
                <w:highlight w:val="none"/>
              </w:rPr>
            </w:pPr>
          </w:p>
        </w:tc>
      </w:tr>
    </w:tbl>
    <w:p w14:paraId="1674589F">
      <w:pPr>
        <w:tabs>
          <w:tab w:val="left" w:pos="1680"/>
        </w:tabs>
        <w:snapToGrid w:val="0"/>
        <w:spacing w:line="360" w:lineRule="auto"/>
        <w:jc w:val="center"/>
        <w:rPr>
          <w:rFonts w:hint="eastAsia" w:ascii="仿宋" w:hAnsi="仿宋" w:eastAsia="仿宋" w:cs="仿宋"/>
          <w:b/>
          <w:sz w:val="24"/>
          <w:szCs w:val="24"/>
          <w:highlight w:val="none"/>
          <w:lang w:val="en-US" w:eastAsia="zh-CN"/>
        </w:rPr>
      </w:pPr>
    </w:p>
    <w:p w14:paraId="28589723">
      <w:pPr>
        <w:tabs>
          <w:tab w:val="left" w:pos="1680"/>
        </w:tabs>
        <w:snapToGrid w:val="0"/>
        <w:spacing w:line="360" w:lineRule="auto"/>
        <w:jc w:val="center"/>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环境标志产品明细表</w:t>
      </w:r>
    </w:p>
    <w:tbl>
      <w:tblPr>
        <w:tblStyle w:val="20"/>
        <w:tblW w:w="89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080"/>
        <w:gridCol w:w="900"/>
        <w:gridCol w:w="1134"/>
        <w:gridCol w:w="1134"/>
        <w:gridCol w:w="2211"/>
        <w:gridCol w:w="1701"/>
      </w:tblGrid>
      <w:tr w14:paraId="5F0A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7" w:type="dxa"/>
            <w:tcBorders>
              <w:top w:val="single" w:color="auto" w:sz="4" w:space="0"/>
              <w:left w:val="single" w:color="auto" w:sz="4" w:space="0"/>
              <w:bottom w:val="single" w:color="auto" w:sz="4" w:space="0"/>
              <w:right w:val="single" w:color="auto" w:sz="4" w:space="0"/>
            </w:tcBorders>
            <w:noWrap w:val="0"/>
            <w:vAlign w:val="center"/>
          </w:tcPr>
          <w:p w14:paraId="0F8D486A">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C4205E7">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产品名称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510ECEC">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制造商</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6F02617">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注册商标</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6910F07">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产品型号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22E796FB">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环境标志产品</w:t>
            </w:r>
          </w:p>
          <w:p w14:paraId="5F506740">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认证证书号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593625">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认证证书</w:t>
            </w:r>
          </w:p>
          <w:p w14:paraId="238099F2">
            <w:pPr>
              <w:keepNext/>
              <w:snapToGrid w:val="0"/>
              <w:spacing w:line="240" w:lineRule="auto"/>
              <w:ind w:firstLine="0" w:firstLineChars="0"/>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有效截止日期</w:t>
            </w:r>
          </w:p>
        </w:tc>
      </w:tr>
      <w:tr w14:paraId="3615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787" w:type="dxa"/>
            <w:tcBorders>
              <w:top w:val="single" w:color="auto" w:sz="4" w:space="0"/>
              <w:left w:val="single" w:color="auto" w:sz="4" w:space="0"/>
              <w:bottom w:val="single" w:color="auto" w:sz="4" w:space="0"/>
              <w:right w:val="single" w:color="auto" w:sz="4" w:space="0"/>
            </w:tcBorders>
            <w:noWrap w:val="0"/>
            <w:vAlign w:val="top"/>
          </w:tcPr>
          <w:p w14:paraId="66FBBC10">
            <w:pPr>
              <w:spacing w:line="360" w:lineRule="exact"/>
              <w:ind w:firstLine="0" w:firstLineChars="0"/>
              <w:rPr>
                <w:rFonts w:hint="eastAsia" w:ascii="仿宋" w:hAnsi="仿宋" w:eastAsia="仿宋" w:cs="仿宋"/>
                <w:b/>
                <w:color w:val="000000"/>
                <w:sz w:val="21"/>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2096100D">
            <w:pPr>
              <w:spacing w:line="360" w:lineRule="exact"/>
              <w:ind w:firstLine="0" w:firstLineChars="0"/>
              <w:rPr>
                <w:rFonts w:hint="eastAsia" w:ascii="仿宋" w:hAnsi="仿宋" w:eastAsia="仿宋" w:cs="仿宋"/>
                <w:b/>
                <w:color w:val="00000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66CFA85">
            <w:pPr>
              <w:spacing w:line="360" w:lineRule="exact"/>
              <w:ind w:firstLine="0" w:firstLineChars="0"/>
              <w:rPr>
                <w:rFonts w:hint="eastAsia" w:ascii="仿宋" w:hAnsi="仿宋" w:eastAsia="仿宋" w:cs="仿宋"/>
                <w:b/>
                <w:color w:val="000000"/>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80A37D1">
            <w:pPr>
              <w:spacing w:line="360" w:lineRule="exact"/>
              <w:ind w:firstLine="0" w:firstLineChars="0"/>
              <w:rPr>
                <w:rFonts w:hint="eastAsia" w:ascii="仿宋" w:hAnsi="仿宋" w:eastAsia="仿宋" w:cs="仿宋"/>
                <w:b/>
                <w:color w:val="000000"/>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BF1836F">
            <w:pPr>
              <w:spacing w:line="360" w:lineRule="exact"/>
              <w:ind w:firstLine="0" w:firstLineChars="0"/>
              <w:rPr>
                <w:rFonts w:hint="eastAsia" w:ascii="仿宋" w:hAnsi="仿宋" w:eastAsia="仿宋" w:cs="仿宋"/>
                <w:b/>
                <w:color w:val="000000"/>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07010A77">
            <w:pPr>
              <w:spacing w:line="360" w:lineRule="exact"/>
              <w:ind w:firstLine="0" w:firstLineChars="0"/>
              <w:rPr>
                <w:rFonts w:hint="eastAsia" w:ascii="仿宋" w:hAnsi="仿宋" w:eastAsia="仿宋" w:cs="仿宋"/>
                <w:b/>
                <w:color w:val="000000"/>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20D023A8">
            <w:pPr>
              <w:spacing w:line="360" w:lineRule="exact"/>
              <w:ind w:firstLine="0" w:firstLineChars="0"/>
              <w:rPr>
                <w:rFonts w:hint="eastAsia" w:ascii="仿宋" w:hAnsi="仿宋" w:eastAsia="仿宋" w:cs="仿宋"/>
                <w:b/>
                <w:color w:val="000000"/>
                <w:sz w:val="21"/>
                <w:szCs w:val="21"/>
                <w:highlight w:val="none"/>
              </w:rPr>
            </w:pPr>
          </w:p>
        </w:tc>
      </w:tr>
      <w:tr w14:paraId="6C7C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87" w:type="dxa"/>
            <w:tcBorders>
              <w:top w:val="single" w:color="auto" w:sz="4" w:space="0"/>
              <w:left w:val="single" w:color="auto" w:sz="4" w:space="0"/>
              <w:bottom w:val="single" w:color="auto" w:sz="4" w:space="0"/>
              <w:right w:val="single" w:color="auto" w:sz="4" w:space="0"/>
            </w:tcBorders>
            <w:noWrap w:val="0"/>
            <w:vAlign w:val="top"/>
          </w:tcPr>
          <w:p w14:paraId="2A4E7C37">
            <w:pPr>
              <w:spacing w:line="360" w:lineRule="exact"/>
              <w:ind w:firstLine="0" w:firstLineChars="0"/>
              <w:rPr>
                <w:rFonts w:hint="eastAsia" w:ascii="仿宋" w:hAnsi="仿宋" w:eastAsia="仿宋" w:cs="仿宋"/>
                <w:b/>
                <w:color w:val="000000"/>
                <w:sz w:val="21"/>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7618518D">
            <w:pPr>
              <w:spacing w:line="360" w:lineRule="exact"/>
              <w:ind w:firstLine="0" w:firstLineChars="0"/>
              <w:rPr>
                <w:rFonts w:hint="eastAsia" w:ascii="仿宋" w:hAnsi="仿宋" w:eastAsia="仿宋" w:cs="仿宋"/>
                <w:b/>
                <w:color w:val="00000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E39F93A">
            <w:pPr>
              <w:spacing w:line="360" w:lineRule="exact"/>
              <w:ind w:firstLine="0" w:firstLineChars="0"/>
              <w:rPr>
                <w:rFonts w:hint="eastAsia" w:ascii="仿宋" w:hAnsi="仿宋" w:eastAsia="仿宋" w:cs="仿宋"/>
                <w:b/>
                <w:color w:val="000000"/>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96DCC93">
            <w:pPr>
              <w:spacing w:line="360" w:lineRule="exact"/>
              <w:ind w:firstLine="0" w:firstLineChars="0"/>
              <w:rPr>
                <w:rFonts w:hint="eastAsia" w:ascii="仿宋" w:hAnsi="仿宋" w:eastAsia="仿宋" w:cs="仿宋"/>
                <w:b/>
                <w:color w:val="000000"/>
                <w:sz w:val="21"/>
                <w:szCs w:val="21"/>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1CB5F80">
            <w:pPr>
              <w:spacing w:line="360" w:lineRule="exact"/>
              <w:ind w:firstLine="0" w:firstLineChars="0"/>
              <w:rPr>
                <w:rFonts w:hint="eastAsia" w:ascii="仿宋" w:hAnsi="仿宋" w:eastAsia="仿宋" w:cs="仿宋"/>
                <w:b/>
                <w:color w:val="000000"/>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F66E067">
            <w:pPr>
              <w:spacing w:line="360" w:lineRule="exact"/>
              <w:ind w:firstLine="0" w:firstLineChars="0"/>
              <w:rPr>
                <w:rFonts w:hint="eastAsia" w:ascii="仿宋" w:hAnsi="仿宋" w:eastAsia="仿宋" w:cs="仿宋"/>
                <w:b/>
                <w:color w:val="000000"/>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6965E8EE">
            <w:pPr>
              <w:spacing w:line="360" w:lineRule="exact"/>
              <w:ind w:firstLine="0" w:firstLineChars="0"/>
              <w:rPr>
                <w:rFonts w:hint="eastAsia" w:ascii="仿宋" w:hAnsi="仿宋" w:eastAsia="仿宋" w:cs="仿宋"/>
                <w:b/>
                <w:color w:val="000000"/>
                <w:sz w:val="21"/>
                <w:szCs w:val="21"/>
                <w:highlight w:val="none"/>
              </w:rPr>
            </w:pPr>
          </w:p>
        </w:tc>
      </w:tr>
    </w:tbl>
    <w:p w14:paraId="106338FF">
      <w:pPr>
        <w:spacing w:before="164" w:beforeLines="50"/>
        <w:ind w:firstLine="480"/>
        <w:rPr>
          <w:rFonts w:hint="eastAsia" w:ascii="仿宋" w:hAnsi="仿宋" w:eastAsia="仿宋" w:cs="仿宋"/>
          <w:highlight w:val="none"/>
        </w:rPr>
      </w:pPr>
    </w:p>
    <w:p w14:paraId="6FD7B405">
      <w:pPr>
        <w:tabs>
          <w:tab w:val="left" w:pos="1680"/>
        </w:tabs>
        <w:snapToGrid w:val="0"/>
        <w:spacing w:line="360" w:lineRule="auto"/>
        <w:jc w:val="center"/>
        <w:rPr>
          <w:rFonts w:hint="eastAsia" w:ascii="仿宋" w:hAnsi="仿宋" w:eastAsia="仿宋" w:cs="仿宋"/>
          <w:b/>
          <w:sz w:val="24"/>
          <w:szCs w:val="24"/>
          <w:highlight w:val="none"/>
          <w:lang w:val="en-US" w:eastAsia="zh-CN"/>
        </w:rPr>
      </w:pPr>
    </w:p>
    <w:p w14:paraId="2D16132D">
      <w:pPr>
        <w:tabs>
          <w:tab w:val="left" w:pos="1680"/>
        </w:tabs>
        <w:snapToGrid w:val="0"/>
        <w:spacing w:line="360" w:lineRule="auto"/>
        <w:jc w:val="center"/>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政府采购绿色产品明细表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808"/>
        <w:gridCol w:w="1187"/>
        <w:gridCol w:w="713"/>
        <w:gridCol w:w="713"/>
        <w:gridCol w:w="795"/>
        <w:gridCol w:w="895"/>
        <w:gridCol w:w="1736"/>
        <w:gridCol w:w="1763"/>
      </w:tblGrid>
      <w:tr w14:paraId="7E11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364" w:type="pct"/>
            <w:tcBorders>
              <w:top w:val="single" w:color="auto" w:sz="4" w:space="0"/>
              <w:left w:val="single" w:color="auto" w:sz="4" w:space="0"/>
              <w:bottom w:val="single" w:color="auto" w:sz="4" w:space="0"/>
              <w:right w:val="single" w:color="auto" w:sz="4" w:space="0"/>
            </w:tcBorders>
            <w:vAlign w:val="center"/>
          </w:tcPr>
          <w:p w14:paraId="5E3D8CA7">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序号</w:t>
            </w:r>
          </w:p>
        </w:tc>
        <w:tc>
          <w:tcPr>
            <w:tcW w:w="435" w:type="pct"/>
            <w:tcBorders>
              <w:top w:val="single" w:color="auto" w:sz="4" w:space="0"/>
              <w:left w:val="single" w:color="auto" w:sz="4" w:space="0"/>
              <w:bottom w:val="single" w:color="auto" w:sz="4" w:space="0"/>
              <w:right w:val="single" w:color="auto" w:sz="4" w:space="0"/>
            </w:tcBorders>
            <w:vAlign w:val="center"/>
          </w:tcPr>
          <w:p w14:paraId="6139DED6">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产品名称</w:t>
            </w:r>
          </w:p>
        </w:tc>
        <w:tc>
          <w:tcPr>
            <w:tcW w:w="639" w:type="pct"/>
            <w:tcBorders>
              <w:top w:val="single" w:color="auto" w:sz="4" w:space="0"/>
              <w:left w:val="single" w:color="auto" w:sz="4" w:space="0"/>
              <w:bottom w:val="single" w:color="auto" w:sz="4" w:space="0"/>
              <w:right w:val="single" w:color="auto" w:sz="4" w:space="0"/>
            </w:tcBorders>
            <w:vAlign w:val="center"/>
          </w:tcPr>
          <w:p w14:paraId="5790B953">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制造商</w:t>
            </w:r>
          </w:p>
        </w:tc>
        <w:tc>
          <w:tcPr>
            <w:tcW w:w="384" w:type="pct"/>
            <w:tcBorders>
              <w:top w:val="single" w:color="auto" w:sz="4" w:space="0"/>
              <w:left w:val="single" w:color="auto" w:sz="4" w:space="0"/>
              <w:bottom w:val="single" w:color="auto" w:sz="4" w:space="0"/>
              <w:right w:val="single" w:color="auto" w:sz="4" w:space="0"/>
            </w:tcBorders>
            <w:vAlign w:val="center"/>
          </w:tcPr>
          <w:p w14:paraId="0F904747">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规格型号</w:t>
            </w:r>
          </w:p>
        </w:tc>
        <w:tc>
          <w:tcPr>
            <w:tcW w:w="384" w:type="pct"/>
            <w:tcBorders>
              <w:top w:val="single" w:color="auto" w:sz="4" w:space="0"/>
              <w:left w:val="single" w:color="auto" w:sz="4" w:space="0"/>
              <w:bottom w:val="single" w:color="auto" w:sz="4" w:space="0"/>
              <w:right w:val="single" w:color="auto" w:sz="4" w:space="0"/>
            </w:tcBorders>
            <w:vAlign w:val="center"/>
          </w:tcPr>
          <w:p w14:paraId="3DD34B73">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数量</w:t>
            </w:r>
          </w:p>
        </w:tc>
        <w:tc>
          <w:tcPr>
            <w:tcW w:w="427" w:type="pct"/>
            <w:tcBorders>
              <w:top w:val="single" w:color="auto" w:sz="4" w:space="0"/>
              <w:left w:val="single" w:color="auto" w:sz="4" w:space="0"/>
              <w:bottom w:val="single" w:color="auto" w:sz="4" w:space="0"/>
              <w:right w:val="single" w:color="auto" w:sz="4" w:space="0"/>
            </w:tcBorders>
            <w:vAlign w:val="center"/>
          </w:tcPr>
          <w:p w14:paraId="1CB65FA6">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单价</w:t>
            </w:r>
          </w:p>
        </w:tc>
        <w:tc>
          <w:tcPr>
            <w:tcW w:w="482" w:type="pct"/>
            <w:tcBorders>
              <w:top w:val="single" w:color="auto" w:sz="4" w:space="0"/>
              <w:left w:val="single" w:color="auto" w:sz="4" w:space="0"/>
              <w:bottom w:val="single" w:color="auto" w:sz="4" w:space="0"/>
              <w:right w:val="single" w:color="auto" w:sz="4" w:space="0"/>
            </w:tcBorders>
            <w:vAlign w:val="center"/>
          </w:tcPr>
          <w:p w14:paraId="21A1B14E">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总价</w:t>
            </w:r>
          </w:p>
        </w:tc>
        <w:tc>
          <w:tcPr>
            <w:tcW w:w="935" w:type="pct"/>
            <w:tcBorders>
              <w:top w:val="single" w:color="auto" w:sz="4" w:space="0"/>
              <w:left w:val="single" w:color="auto" w:sz="4" w:space="0"/>
              <w:bottom w:val="single" w:color="auto" w:sz="4" w:space="0"/>
              <w:right w:val="single" w:color="auto" w:sz="4" w:space="0"/>
            </w:tcBorders>
            <w:vAlign w:val="center"/>
          </w:tcPr>
          <w:p w14:paraId="39B8234A">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产品认证</w:t>
            </w:r>
          </w:p>
          <w:p w14:paraId="024F477F">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证书号</w:t>
            </w:r>
          </w:p>
        </w:tc>
        <w:tc>
          <w:tcPr>
            <w:tcW w:w="950" w:type="pct"/>
            <w:tcBorders>
              <w:top w:val="single" w:color="auto" w:sz="4" w:space="0"/>
              <w:left w:val="single" w:color="auto" w:sz="4" w:space="0"/>
              <w:bottom w:val="single" w:color="auto" w:sz="4" w:space="0"/>
              <w:right w:val="single" w:color="auto" w:sz="4" w:space="0"/>
            </w:tcBorders>
            <w:vAlign w:val="center"/>
          </w:tcPr>
          <w:p w14:paraId="4F998E45">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认证证书有效截止日期</w:t>
            </w:r>
          </w:p>
        </w:tc>
      </w:tr>
      <w:tr w14:paraId="5203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64" w:type="pct"/>
            <w:tcBorders>
              <w:top w:val="single" w:color="auto" w:sz="4" w:space="0"/>
              <w:left w:val="single" w:color="auto" w:sz="4" w:space="0"/>
              <w:bottom w:val="single" w:color="auto" w:sz="4" w:space="0"/>
              <w:right w:val="single" w:color="auto" w:sz="4" w:space="0"/>
            </w:tcBorders>
          </w:tcPr>
          <w:p w14:paraId="1316EBFD">
            <w:pPr>
              <w:spacing w:line="360" w:lineRule="exact"/>
              <w:ind w:firstLine="0" w:firstLineChars="0"/>
              <w:rPr>
                <w:rFonts w:hint="eastAsia" w:ascii="仿宋" w:hAnsi="仿宋" w:eastAsia="仿宋" w:cs="仿宋"/>
                <w:b/>
                <w:color w:val="000000"/>
                <w:sz w:val="21"/>
                <w:szCs w:val="21"/>
                <w:highlight w:val="none"/>
              </w:rPr>
            </w:pPr>
          </w:p>
        </w:tc>
        <w:tc>
          <w:tcPr>
            <w:tcW w:w="435" w:type="pct"/>
            <w:tcBorders>
              <w:top w:val="single" w:color="auto" w:sz="4" w:space="0"/>
              <w:left w:val="single" w:color="auto" w:sz="4" w:space="0"/>
              <w:bottom w:val="single" w:color="auto" w:sz="4" w:space="0"/>
              <w:right w:val="single" w:color="auto" w:sz="4" w:space="0"/>
            </w:tcBorders>
          </w:tcPr>
          <w:p w14:paraId="2B9AE6BF">
            <w:pPr>
              <w:spacing w:line="360" w:lineRule="exact"/>
              <w:ind w:firstLine="0" w:firstLineChars="0"/>
              <w:rPr>
                <w:rFonts w:hint="eastAsia" w:ascii="仿宋" w:hAnsi="仿宋" w:eastAsia="仿宋" w:cs="仿宋"/>
                <w:b/>
                <w:color w:val="000000"/>
                <w:sz w:val="21"/>
                <w:szCs w:val="21"/>
                <w:highlight w:val="none"/>
              </w:rPr>
            </w:pPr>
          </w:p>
        </w:tc>
        <w:tc>
          <w:tcPr>
            <w:tcW w:w="639" w:type="pct"/>
            <w:tcBorders>
              <w:top w:val="single" w:color="auto" w:sz="4" w:space="0"/>
              <w:left w:val="single" w:color="auto" w:sz="4" w:space="0"/>
              <w:bottom w:val="single" w:color="auto" w:sz="4" w:space="0"/>
              <w:right w:val="single" w:color="auto" w:sz="4" w:space="0"/>
            </w:tcBorders>
          </w:tcPr>
          <w:p w14:paraId="5F52F0F1">
            <w:pPr>
              <w:spacing w:line="360" w:lineRule="exact"/>
              <w:ind w:firstLine="0" w:firstLineChars="0"/>
              <w:rPr>
                <w:rFonts w:hint="eastAsia" w:ascii="仿宋" w:hAnsi="仿宋" w:eastAsia="仿宋" w:cs="仿宋"/>
                <w:b/>
                <w:color w:val="000000"/>
                <w:sz w:val="21"/>
                <w:szCs w:val="21"/>
                <w:highlight w:val="none"/>
              </w:rPr>
            </w:pPr>
          </w:p>
        </w:tc>
        <w:tc>
          <w:tcPr>
            <w:tcW w:w="384" w:type="pct"/>
            <w:tcBorders>
              <w:top w:val="single" w:color="auto" w:sz="4" w:space="0"/>
              <w:left w:val="single" w:color="auto" w:sz="4" w:space="0"/>
              <w:bottom w:val="single" w:color="auto" w:sz="4" w:space="0"/>
              <w:right w:val="single" w:color="auto" w:sz="4" w:space="0"/>
            </w:tcBorders>
          </w:tcPr>
          <w:p w14:paraId="15C9ADF1">
            <w:pPr>
              <w:spacing w:line="360" w:lineRule="exact"/>
              <w:ind w:firstLine="0" w:firstLineChars="0"/>
              <w:rPr>
                <w:rFonts w:hint="eastAsia" w:ascii="仿宋" w:hAnsi="仿宋" w:eastAsia="仿宋" w:cs="仿宋"/>
                <w:b/>
                <w:color w:val="000000"/>
                <w:sz w:val="21"/>
                <w:szCs w:val="21"/>
                <w:highlight w:val="none"/>
              </w:rPr>
            </w:pPr>
          </w:p>
        </w:tc>
        <w:tc>
          <w:tcPr>
            <w:tcW w:w="384" w:type="pct"/>
            <w:tcBorders>
              <w:top w:val="single" w:color="auto" w:sz="4" w:space="0"/>
              <w:left w:val="single" w:color="auto" w:sz="4" w:space="0"/>
              <w:bottom w:val="single" w:color="auto" w:sz="4" w:space="0"/>
              <w:right w:val="single" w:color="auto" w:sz="4" w:space="0"/>
            </w:tcBorders>
          </w:tcPr>
          <w:p w14:paraId="57104EE3">
            <w:pPr>
              <w:spacing w:line="360" w:lineRule="exact"/>
              <w:ind w:firstLine="0" w:firstLineChars="0"/>
              <w:rPr>
                <w:rFonts w:hint="eastAsia" w:ascii="仿宋" w:hAnsi="仿宋" w:eastAsia="仿宋" w:cs="仿宋"/>
                <w:b/>
                <w:color w:val="000000"/>
                <w:sz w:val="21"/>
                <w:szCs w:val="21"/>
                <w:highlight w:val="none"/>
              </w:rPr>
            </w:pPr>
          </w:p>
        </w:tc>
        <w:tc>
          <w:tcPr>
            <w:tcW w:w="427" w:type="pct"/>
            <w:tcBorders>
              <w:top w:val="single" w:color="auto" w:sz="4" w:space="0"/>
              <w:left w:val="single" w:color="auto" w:sz="4" w:space="0"/>
              <w:bottom w:val="single" w:color="auto" w:sz="4" w:space="0"/>
              <w:right w:val="single" w:color="auto" w:sz="4" w:space="0"/>
            </w:tcBorders>
          </w:tcPr>
          <w:p w14:paraId="40BC5F5E">
            <w:pPr>
              <w:spacing w:line="360" w:lineRule="exact"/>
              <w:ind w:firstLine="0" w:firstLineChars="0"/>
              <w:rPr>
                <w:rFonts w:hint="eastAsia" w:ascii="仿宋" w:hAnsi="仿宋" w:eastAsia="仿宋" w:cs="仿宋"/>
                <w:b/>
                <w:color w:val="000000"/>
                <w:sz w:val="21"/>
                <w:szCs w:val="21"/>
                <w:highlight w:val="none"/>
              </w:rPr>
            </w:pPr>
          </w:p>
        </w:tc>
        <w:tc>
          <w:tcPr>
            <w:tcW w:w="482" w:type="pct"/>
            <w:tcBorders>
              <w:top w:val="single" w:color="auto" w:sz="4" w:space="0"/>
              <w:left w:val="single" w:color="auto" w:sz="4" w:space="0"/>
              <w:bottom w:val="single" w:color="auto" w:sz="4" w:space="0"/>
              <w:right w:val="single" w:color="auto" w:sz="4" w:space="0"/>
            </w:tcBorders>
          </w:tcPr>
          <w:p w14:paraId="07C1278A">
            <w:pPr>
              <w:spacing w:line="360" w:lineRule="exact"/>
              <w:ind w:firstLine="0" w:firstLineChars="0"/>
              <w:rPr>
                <w:rFonts w:hint="eastAsia" w:ascii="仿宋" w:hAnsi="仿宋" w:eastAsia="仿宋" w:cs="仿宋"/>
                <w:b/>
                <w:color w:val="000000"/>
                <w:sz w:val="21"/>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3E8F4366">
            <w:pPr>
              <w:spacing w:line="360" w:lineRule="exact"/>
              <w:ind w:firstLine="0" w:firstLineChars="0"/>
              <w:rPr>
                <w:rFonts w:hint="eastAsia" w:ascii="仿宋" w:hAnsi="仿宋" w:eastAsia="仿宋" w:cs="仿宋"/>
                <w:b/>
                <w:color w:val="000000"/>
                <w:sz w:val="21"/>
                <w:szCs w:val="21"/>
                <w:highlight w:val="none"/>
              </w:rPr>
            </w:pPr>
          </w:p>
        </w:tc>
        <w:tc>
          <w:tcPr>
            <w:tcW w:w="950" w:type="pct"/>
            <w:tcBorders>
              <w:top w:val="single" w:color="auto" w:sz="4" w:space="0"/>
              <w:left w:val="single" w:color="auto" w:sz="4" w:space="0"/>
              <w:bottom w:val="single" w:color="auto" w:sz="4" w:space="0"/>
              <w:right w:val="single" w:color="auto" w:sz="4" w:space="0"/>
            </w:tcBorders>
          </w:tcPr>
          <w:p w14:paraId="23317A9D">
            <w:pPr>
              <w:spacing w:line="360" w:lineRule="exact"/>
              <w:ind w:firstLine="0" w:firstLineChars="0"/>
              <w:rPr>
                <w:rFonts w:hint="eastAsia" w:ascii="仿宋" w:hAnsi="仿宋" w:eastAsia="仿宋" w:cs="仿宋"/>
                <w:b/>
                <w:color w:val="000000"/>
                <w:sz w:val="21"/>
                <w:szCs w:val="21"/>
                <w:highlight w:val="none"/>
              </w:rPr>
            </w:pPr>
          </w:p>
        </w:tc>
      </w:tr>
      <w:tr w14:paraId="20F4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364" w:type="pct"/>
            <w:tcBorders>
              <w:top w:val="single" w:color="auto" w:sz="4" w:space="0"/>
              <w:left w:val="single" w:color="auto" w:sz="4" w:space="0"/>
              <w:bottom w:val="single" w:color="auto" w:sz="4" w:space="0"/>
              <w:right w:val="single" w:color="auto" w:sz="4" w:space="0"/>
            </w:tcBorders>
          </w:tcPr>
          <w:p w14:paraId="03686FE3">
            <w:pPr>
              <w:spacing w:line="360" w:lineRule="exact"/>
              <w:ind w:firstLine="0" w:firstLineChars="0"/>
              <w:rPr>
                <w:rFonts w:hint="eastAsia" w:ascii="仿宋" w:hAnsi="仿宋" w:eastAsia="仿宋" w:cs="仿宋"/>
                <w:b/>
                <w:color w:val="000000"/>
                <w:sz w:val="21"/>
                <w:szCs w:val="21"/>
                <w:highlight w:val="none"/>
              </w:rPr>
            </w:pPr>
          </w:p>
        </w:tc>
        <w:tc>
          <w:tcPr>
            <w:tcW w:w="435" w:type="pct"/>
            <w:tcBorders>
              <w:top w:val="single" w:color="auto" w:sz="4" w:space="0"/>
              <w:left w:val="single" w:color="auto" w:sz="4" w:space="0"/>
              <w:bottom w:val="single" w:color="auto" w:sz="4" w:space="0"/>
              <w:right w:val="single" w:color="auto" w:sz="4" w:space="0"/>
            </w:tcBorders>
          </w:tcPr>
          <w:p w14:paraId="1A06C2FF">
            <w:pPr>
              <w:spacing w:line="360" w:lineRule="exact"/>
              <w:ind w:firstLine="0" w:firstLineChars="0"/>
              <w:rPr>
                <w:rFonts w:hint="eastAsia" w:ascii="仿宋" w:hAnsi="仿宋" w:eastAsia="仿宋" w:cs="仿宋"/>
                <w:b/>
                <w:color w:val="000000"/>
                <w:sz w:val="21"/>
                <w:szCs w:val="21"/>
                <w:highlight w:val="none"/>
              </w:rPr>
            </w:pPr>
          </w:p>
        </w:tc>
        <w:tc>
          <w:tcPr>
            <w:tcW w:w="639" w:type="pct"/>
            <w:tcBorders>
              <w:top w:val="single" w:color="auto" w:sz="4" w:space="0"/>
              <w:left w:val="single" w:color="auto" w:sz="4" w:space="0"/>
              <w:bottom w:val="single" w:color="auto" w:sz="4" w:space="0"/>
              <w:right w:val="single" w:color="auto" w:sz="4" w:space="0"/>
            </w:tcBorders>
          </w:tcPr>
          <w:p w14:paraId="102ABEBE">
            <w:pPr>
              <w:spacing w:line="360" w:lineRule="exact"/>
              <w:ind w:firstLine="0" w:firstLineChars="0"/>
              <w:rPr>
                <w:rFonts w:hint="eastAsia" w:ascii="仿宋" w:hAnsi="仿宋" w:eastAsia="仿宋" w:cs="仿宋"/>
                <w:b/>
                <w:color w:val="000000"/>
                <w:sz w:val="21"/>
                <w:szCs w:val="21"/>
                <w:highlight w:val="none"/>
              </w:rPr>
            </w:pPr>
          </w:p>
        </w:tc>
        <w:tc>
          <w:tcPr>
            <w:tcW w:w="384" w:type="pct"/>
            <w:tcBorders>
              <w:top w:val="single" w:color="auto" w:sz="4" w:space="0"/>
              <w:left w:val="single" w:color="auto" w:sz="4" w:space="0"/>
              <w:bottom w:val="single" w:color="auto" w:sz="4" w:space="0"/>
              <w:right w:val="single" w:color="auto" w:sz="4" w:space="0"/>
            </w:tcBorders>
          </w:tcPr>
          <w:p w14:paraId="1150024F">
            <w:pPr>
              <w:spacing w:line="360" w:lineRule="exact"/>
              <w:ind w:firstLine="0" w:firstLineChars="0"/>
              <w:rPr>
                <w:rFonts w:hint="eastAsia" w:ascii="仿宋" w:hAnsi="仿宋" w:eastAsia="仿宋" w:cs="仿宋"/>
                <w:b/>
                <w:color w:val="000000"/>
                <w:sz w:val="21"/>
                <w:szCs w:val="21"/>
                <w:highlight w:val="none"/>
              </w:rPr>
            </w:pPr>
          </w:p>
        </w:tc>
        <w:tc>
          <w:tcPr>
            <w:tcW w:w="384" w:type="pct"/>
            <w:tcBorders>
              <w:top w:val="single" w:color="auto" w:sz="4" w:space="0"/>
              <w:left w:val="single" w:color="auto" w:sz="4" w:space="0"/>
              <w:bottom w:val="single" w:color="auto" w:sz="4" w:space="0"/>
              <w:right w:val="single" w:color="auto" w:sz="4" w:space="0"/>
            </w:tcBorders>
          </w:tcPr>
          <w:p w14:paraId="296865D9">
            <w:pPr>
              <w:spacing w:line="360" w:lineRule="exact"/>
              <w:ind w:firstLine="0" w:firstLineChars="0"/>
              <w:rPr>
                <w:rFonts w:hint="eastAsia" w:ascii="仿宋" w:hAnsi="仿宋" w:eastAsia="仿宋" w:cs="仿宋"/>
                <w:b/>
                <w:color w:val="000000"/>
                <w:sz w:val="21"/>
                <w:szCs w:val="21"/>
                <w:highlight w:val="none"/>
              </w:rPr>
            </w:pPr>
          </w:p>
        </w:tc>
        <w:tc>
          <w:tcPr>
            <w:tcW w:w="427" w:type="pct"/>
            <w:tcBorders>
              <w:top w:val="single" w:color="auto" w:sz="4" w:space="0"/>
              <w:left w:val="single" w:color="auto" w:sz="4" w:space="0"/>
              <w:bottom w:val="single" w:color="auto" w:sz="4" w:space="0"/>
              <w:right w:val="single" w:color="auto" w:sz="4" w:space="0"/>
            </w:tcBorders>
          </w:tcPr>
          <w:p w14:paraId="683DD785">
            <w:pPr>
              <w:spacing w:line="360" w:lineRule="exact"/>
              <w:ind w:firstLine="0" w:firstLineChars="0"/>
              <w:rPr>
                <w:rFonts w:hint="eastAsia" w:ascii="仿宋" w:hAnsi="仿宋" w:eastAsia="仿宋" w:cs="仿宋"/>
                <w:b/>
                <w:color w:val="000000"/>
                <w:sz w:val="21"/>
                <w:szCs w:val="21"/>
                <w:highlight w:val="none"/>
              </w:rPr>
            </w:pPr>
          </w:p>
        </w:tc>
        <w:tc>
          <w:tcPr>
            <w:tcW w:w="482" w:type="pct"/>
            <w:tcBorders>
              <w:top w:val="single" w:color="auto" w:sz="4" w:space="0"/>
              <w:left w:val="single" w:color="auto" w:sz="4" w:space="0"/>
              <w:bottom w:val="single" w:color="auto" w:sz="4" w:space="0"/>
              <w:right w:val="single" w:color="auto" w:sz="4" w:space="0"/>
            </w:tcBorders>
          </w:tcPr>
          <w:p w14:paraId="67077D44">
            <w:pPr>
              <w:spacing w:line="360" w:lineRule="exact"/>
              <w:ind w:firstLine="0" w:firstLineChars="0"/>
              <w:rPr>
                <w:rFonts w:hint="eastAsia" w:ascii="仿宋" w:hAnsi="仿宋" w:eastAsia="仿宋" w:cs="仿宋"/>
                <w:b/>
                <w:color w:val="000000"/>
                <w:sz w:val="21"/>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0097347E">
            <w:pPr>
              <w:spacing w:line="360" w:lineRule="exact"/>
              <w:ind w:firstLine="0" w:firstLineChars="0"/>
              <w:rPr>
                <w:rFonts w:hint="eastAsia" w:ascii="仿宋" w:hAnsi="仿宋" w:eastAsia="仿宋" w:cs="仿宋"/>
                <w:b/>
                <w:color w:val="000000"/>
                <w:sz w:val="21"/>
                <w:szCs w:val="21"/>
                <w:highlight w:val="none"/>
              </w:rPr>
            </w:pPr>
          </w:p>
        </w:tc>
        <w:tc>
          <w:tcPr>
            <w:tcW w:w="950" w:type="pct"/>
            <w:tcBorders>
              <w:top w:val="single" w:color="auto" w:sz="4" w:space="0"/>
              <w:left w:val="single" w:color="auto" w:sz="4" w:space="0"/>
              <w:bottom w:val="single" w:color="auto" w:sz="4" w:space="0"/>
              <w:right w:val="single" w:color="auto" w:sz="4" w:space="0"/>
            </w:tcBorders>
          </w:tcPr>
          <w:p w14:paraId="62A36AA2">
            <w:pPr>
              <w:spacing w:line="360" w:lineRule="exact"/>
              <w:ind w:firstLine="0" w:firstLineChars="0"/>
              <w:rPr>
                <w:rFonts w:hint="eastAsia" w:ascii="仿宋" w:hAnsi="仿宋" w:eastAsia="仿宋" w:cs="仿宋"/>
                <w:b/>
                <w:color w:val="000000"/>
                <w:sz w:val="21"/>
                <w:szCs w:val="21"/>
                <w:highlight w:val="none"/>
              </w:rPr>
            </w:pPr>
          </w:p>
        </w:tc>
      </w:tr>
      <w:tr w14:paraId="0FD9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34" w:type="pct"/>
            <w:gridSpan w:val="6"/>
            <w:tcBorders>
              <w:top w:val="single" w:color="auto" w:sz="4" w:space="0"/>
              <w:left w:val="single" w:color="auto" w:sz="4" w:space="0"/>
              <w:bottom w:val="single" w:color="auto" w:sz="4" w:space="0"/>
              <w:right w:val="single" w:color="auto" w:sz="4" w:space="0"/>
            </w:tcBorders>
            <w:vAlign w:val="center"/>
          </w:tcPr>
          <w:p w14:paraId="20215059">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合计金额（元）</w:t>
            </w:r>
          </w:p>
        </w:tc>
        <w:tc>
          <w:tcPr>
            <w:tcW w:w="2366" w:type="pct"/>
            <w:gridSpan w:val="3"/>
            <w:tcBorders>
              <w:top w:val="single" w:color="auto" w:sz="4" w:space="0"/>
              <w:left w:val="single" w:color="auto" w:sz="4" w:space="0"/>
              <w:bottom w:val="single" w:color="auto" w:sz="4" w:space="0"/>
              <w:right w:val="single" w:color="auto" w:sz="4" w:space="0"/>
            </w:tcBorders>
            <w:vAlign w:val="center"/>
          </w:tcPr>
          <w:p w14:paraId="44762CCD">
            <w:pPr>
              <w:spacing w:line="360" w:lineRule="exact"/>
              <w:ind w:firstLine="0" w:firstLineChars="0"/>
              <w:rPr>
                <w:rFonts w:hint="eastAsia" w:ascii="仿宋" w:hAnsi="仿宋" w:eastAsia="仿宋" w:cs="仿宋"/>
                <w:b/>
                <w:color w:val="000000"/>
                <w:sz w:val="21"/>
                <w:szCs w:val="21"/>
                <w:highlight w:val="none"/>
              </w:rPr>
            </w:pPr>
          </w:p>
        </w:tc>
      </w:tr>
    </w:tbl>
    <w:p w14:paraId="46DB515C">
      <w:pPr>
        <w:bidi w:val="0"/>
        <w:rPr>
          <w:rFonts w:hint="eastAsia"/>
          <w:highlight w:val="none"/>
        </w:rPr>
      </w:pPr>
    </w:p>
    <w:p w14:paraId="50DC2A94">
      <w:pPr>
        <w:pStyle w:val="17"/>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注：</w:t>
      </w:r>
    </w:p>
    <w:p w14:paraId="0A0A8E69">
      <w:pPr>
        <w:pStyle w:val="17"/>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报价货物中如含有非强制节能、环境标志产品的，需如实填写，并提供获得国家确定的认证机构出具的处于有效期之内认证证书，否则不予认可。</w:t>
      </w:r>
    </w:p>
    <w:p w14:paraId="52A4FF2B">
      <w:pPr>
        <w:pStyle w:val="17"/>
        <w:ind w:firstLine="480"/>
        <w:rPr>
          <w:rFonts w:hint="eastAsia" w:ascii="仿宋" w:hAnsi="仿宋" w:eastAsia="仿宋" w:cs="仿宋"/>
          <w:sz w:val="24"/>
          <w:szCs w:val="24"/>
          <w:highlight w:val="none"/>
        </w:rPr>
      </w:pPr>
    </w:p>
    <w:p w14:paraId="291CF03D">
      <w:pPr>
        <w:pStyle w:val="17"/>
        <w:ind w:firstLine="480"/>
        <w:rPr>
          <w:rFonts w:hint="eastAsia" w:ascii="仿宋" w:hAnsi="仿宋" w:eastAsia="仿宋" w:cs="仿宋"/>
          <w:sz w:val="24"/>
          <w:szCs w:val="24"/>
          <w:highlight w:val="none"/>
        </w:rPr>
      </w:pPr>
    </w:p>
    <w:p w14:paraId="37EA7EE0">
      <w:pPr>
        <w:widowControl/>
        <w:tabs>
          <w:tab w:val="left" w:pos="4000"/>
        </w:tabs>
        <w:snapToGrid w:val="0"/>
        <w:spacing w:line="480" w:lineRule="auto"/>
        <w:ind w:firstLine="1920" w:firstLineChars="8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(盖章)</w:t>
      </w:r>
    </w:p>
    <w:p w14:paraId="636C6B3E">
      <w:pPr>
        <w:spacing w:line="480" w:lineRule="auto"/>
        <w:ind w:left="1470" w:leftChars="700" w:firstLine="480"/>
        <w:rPr>
          <w:rFonts w:hint="eastAsia" w:ascii="仿宋" w:hAnsi="仿宋" w:eastAsia="仿宋" w:cs="仿宋"/>
          <w:bCs/>
          <w:color w:val="000000"/>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r>
        <w:rPr>
          <w:rFonts w:hint="eastAsia" w:ascii="仿宋" w:hAnsi="仿宋" w:eastAsia="仿宋" w:cs="仿宋"/>
          <w:bCs/>
          <w:color w:val="000000"/>
          <w:highlight w:val="none"/>
        </w:rPr>
        <w:br w:type="page"/>
      </w:r>
    </w:p>
    <w:p w14:paraId="4021CF79">
      <w:pPr>
        <w:rPr>
          <w:rFonts w:hint="eastAsia" w:ascii="仿宋" w:hAnsi="仿宋" w:eastAsia="仿宋" w:cs="仿宋"/>
          <w:b/>
          <w:bCs w:val="0"/>
          <w:kern w:val="0"/>
          <w:sz w:val="24"/>
          <w:szCs w:val="24"/>
          <w:highlight w:val="none"/>
          <w:lang w:val="en-US" w:eastAsia="zh-CN"/>
        </w:rPr>
      </w:pPr>
    </w:p>
    <w:p w14:paraId="7FCEE056">
      <w:pPr>
        <w:rPr>
          <w:rFonts w:hint="eastAsia" w:ascii="仿宋" w:hAnsi="仿宋" w:eastAsia="仿宋" w:cs="仿宋"/>
          <w:b/>
          <w:bCs w:val="0"/>
          <w:kern w:val="0"/>
          <w:sz w:val="24"/>
          <w:szCs w:val="24"/>
          <w:highlight w:val="none"/>
          <w:lang w:val="en-US" w:eastAsia="zh-CN"/>
        </w:rPr>
      </w:pPr>
      <w:r>
        <w:rPr>
          <w:rFonts w:hint="eastAsia" w:ascii="仿宋" w:hAnsi="仿宋" w:eastAsia="仿宋" w:cs="仿宋"/>
          <w:b/>
          <w:bCs w:val="0"/>
          <w:kern w:val="0"/>
          <w:sz w:val="24"/>
          <w:szCs w:val="24"/>
          <w:highlight w:val="none"/>
          <w:lang w:val="en-US" w:eastAsia="zh-CN"/>
        </w:rPr>
        <w:t>（三）网络安全专用产品（如不涉及，此函可不提供）</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351"/>
        <w:gridCol w:w="1560"/>
        <w:gridCol w:w="1234"/>
        <w:gridCol w:w="1146"/>
        <w:gridCol w:w="1729"/>
        <w:gridCol w:w="1259"/>
      </w:tblGrid>
      <w:tr w14:paraId="6E09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52" w:type="dxa"/>
            <w:vAlign w:val="center"/>
          </w:tcPr>
          <w:p w14:paraId="10384486">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包号</w:t>
            </w:r>
          </w:p>
        </w:tc>
        <w:tc>
          <w:tcPr>
            <w:tcW w:w="1351" w:type="dxa"/>
            <w:vAlign w:val="center"/>
          </w:tcPr>
          <w:p w14:paraId="77C5F0BF">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产品名称</w:t>
            </w:r>
          </w:p>
        </w:tc>
        <w:tc>
          <w:tcPr>
            <w:tcW w:w="1560" w:type="dxa"/>
            <w:vAlign w:val="center"/>
          </w:tcPr>
          <w:p w14:paraId="44EB8835">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制造商</w:t>
            </w:r>
          </w:p>
        </w:tc>
        <w:tc>
          <w:tcPr>
            <w:tcW w:w="1234" w:type="dxa"/>
            <w:vAlign w:val="center"/>
          </w:tcPr>
          <w:p w14:paraId="746D5BAB">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注册商标</w:t>
            </w:r>
          </w:p>
        </w:tc>
        <w:tc>
          <w:tcPr>
            <w:tcW w:w="1146" w:type="dxa"/>
            <w:vAlign w:val="center"/>
          </w:tcPr>
          <w:p w14:paraId="521D4A35">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产品型号</w:t>
            </w:r>
          </w:p>
        </w:tc>
        <w:tc>
          <w:tcPr>
            <w:tcW w:w="1729" w:type="dxa"/>
            <w:vAlign w:val="center"/>
          </w:tcPr>
          <w:p w14:paraId="27773BAF">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合格或许可证号</w:t>
            </w:r>
          </w:p>
        </w:tc>
        <w:tc>
          <w:tcPr>
            <w:tcW w:w="1259" w:type="dxa"/>
            <w:vAlign w:val="center"/>
          </w:tcPr>
          <w:p w14:paraId="06CDFE9A">
            <w:pPr>
              <w:spacing w:line="360" w:lineRule="exact"/>
              <w:ind w:firstLine="0" w:firstLineChars="0"/>
              <w:rPr>
                <w:rFonts w:hint="eastAsia" w:ascii="仿宋" w:hAnsi="仿宋" w:eastAsia="仿宋" w:cs="仿宋"/>
                <w:b/>
                <w:color w:val="000000"/>
                <w:sz w:val="21"/>
                <w:szCs w:val="21"/>
                <w:highlight w:val="none"/>
              </w:rPr>
            </w:pPr>
            <w:r>
              <w:rPr>
                <w:rFonts w:hint="eastAsia" w:ascii="仿宋" w:hAnsi="仿宋" w:eastAsia="仿宋" w:cs="仿宋"/>
                <w:b/>
                <w:color w:val="000000"/>
                <w:sz w:val="21"/>
                <w:szCs w:val="21"/>
                <w:highlight w:val="none"/>
              </w:rPr>
              <w:t>认证机构名称</w:t>
            </w:r>
          </w:p>
        </w:tc>
      </w:tr>
      <w:tr w14:paraId="061A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2" w:type="dxa"/>
          </w:tcPr>
          <w:p w14:paraId="286E8882">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351" w:type="dxa"/>
          </w:tcPr>
          <w:p w14:paraId="35E3310E">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560" w:type="dxa"/>
          </w:tcPr>
          <w:p w14:paraId="3E15E215">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234" w:type="dxa"/>
          </w:tcPr>
          <w:p w14:paraId="1B261171">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146" w:type="dxa"/>
          </w:tcPr>
          <w:p w14:paraId="3999C7F9">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729" w:type="dxa"/>
          </w:tcPr>
          <w:p w14:paraId="28C52FC0">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259" w:type="dxa"/>
          </w:tcPr>
          <w:p w14:paraId="2C45E762">
            <w:pPr>
              <w:keepNext/>
              <w:topLinePunct/>
              <w:adjustRightInd w:val="0"/>
              <w:snapToGrid w:val="0"/>
              <w:jc w:val="center"/>
              <w:rPr>
                <w:rFonts w:asciiTheme="minorEastAsia" w:hAnsiTheme="minorEastAsia" w:eastAsiaTheme="minorEastAsia" w:cstheme="minorEastAsia"/>
                <w:b/>
                <w:color w:val="auto"/>
                <w:szCs w:val="21"/>
                <w:highlight w:val="none"/>
              </w:rPr>
            </w:pPr>
          </w:p>
        </w:tc>
      </w:tr>
      <w:tr w14:paraId="32D5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52" w:type="dxa"/>
          </w:tcPr>
          <w:p w14:paraId="259481D3">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351" w:type="dxa"/>
          </w:tcPr>
          <w:p w14:paraId="02B15F6D">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560" w:type="dxa"/>
          </w:tcPr>
          <w:p w14:paraId="5B88B5E2">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234" w:type="dxa"/>
          </w:tcPr>
          <w:p w14:paraId="79F9B58F">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146" w:type="dxa"/>
          </w:tcPr>
          <w:p w14:paraId="0402DC51">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729" w:type="dxa"/>
          </w:tcPr>
          <w:p w14:paraId="4F76D4E2">
            <w:pPr>
              <w:keepNext/>
              <w:topLinePunct/>
              <w:adjustRightInd w:val="0"/>
              <w:snapToGrid w:val="0"/>
              <w:jc w:val="center"/>
              <w:rPr>
                <w:rFonts w:asciiTheme="minorEastAsia" w:hAnsiTheme="minorEastAsia" w:eastAsiaTheme="minorEastAsia" w:cstheme="minorEastAsia"/>
                <w:b/>
                <w:color w:val="auto"/>
                <w:szCs w:val="21"/>
                <w:highlight w:val="none"/>
              </w:rPr>
            </w:pPr>
          </w:p>
        </w:tc>
        <w:tc>
          <w:tcPr>
            <w:tcW w:w="1259" w:type="dxa"/>
          </w:tcPr>
          <w:p w14:paraId="690DC544">
            <w:pPr>
              <w:keepNext/>
              <w:topLinePunct/>
              <w:adjustRightInd w:val="0"/>
              <w:snapToGrid w:val="0"/>
              <w:jc w:val="center"/>
              <w:rPr>
                <w:rFonts w:asciiTheme="minorEastAsia" w:hAnsiTheme="minorEastAsia" w:eastAsiaTheme="minorEastAsia" w:cstheme="minorEastAsia"/>
                <w:b/>
                <w:color w:val="auto"/>
                <w:szCs w:val="21"/>
                <w:highlight w:val="none"/>
              </w:rPr>
            </w:pPr>
          </w:p>
        </w:tc>
      </w:tr>
      <w:tr w14:paraId="3EA2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2" w:type="dxa"/>
          </w:tcPr>
          <w:p w14:paraId="0A1E25FC">
            <w:pPr>
              <w:keepNext/>
              <w:topLinePunct/>
              <w:spacing w:line="360" w:lineRule="auto"/>
              <w:ind w:firstLine="422"/>
              <w:jc w:val="center"/>
              <w:rPr>
                <w:rFonts w:asciiTheme="minorEastAsia" w:hAnsiTheme="minorEastAsia" w:eastAsiaTheme="minorEastAsia" w:cstheme="minorEastAsia"/>
                <w:b/>
                <w:color w:val="auto"/>
                <w:szCs w:val="21"/>
                <w:highlight w:val="none"/>
              </w:rPr>
            </w:pPr>
          </w:p>
        </w:tc>
        <w:tc>
          <w:tcPr>
            <w:tcW w:w="1351" w:type="dxa"/>
          </w:tcPr>
          <w:p w14:paraId="09225E5E">
            <w:pPr>
              <w:keepNext/>
              <w:topLinePunct/>
              <w:spacing w:line="360" w:lineRule="auto"/>
              <w:ind w:firstLine="422"/>
              <w:jc w:val="center"/>
              <w:rPr>
                <w:rFonts w:asciiTheme="minorEastAsia" w:hAnsiTheme="minorEastAsia" w:eastAsiaTheme="minorEastAsia" w:cstheme="minorEastAsia"/>
                <w:b/>
                <w:color w:val="auto"/>
                <w:szCs w:val="21"/>
                <w:highlight w:val="none"/>
              </w:rPr>
            </w:pPr>
          </w:p>
        </w:tc>
        <w:tc>
          <w:tcPr>
            <w:tcW w:w="1560" w:type="dxa"/>
          </w:tcPr>
          <w:p w14:paraId="12C63F8C">
            <w:pPr>
              <w:keepNext/>
              <w:topLinePunct/>
              <w:spacing w:line="360" w:lineRule="auto"/>
              <w:ind w:firstLine="422"/>
              <w:jc w:val="center"/>
              <w:rPr>
                <w:rFonts w:asciiTheme="minorEastAsia" w:hAnsiTheme="minorEastAsia" w:eastAsiaTheme="minorEastAsia" w:cstheme="minorEastAsia"/>
                <w:b/>
                <w:color w:val="auto"/>
                <w:szCs w:val="21"/>
                <w:highlight w:val="none"/>
              </w:rPr>
            </w:pPr>
          </w:p>
        </w:tc>
        <w:tc>
          <w:tcPr>
            <w:tcW w:w="1234" w:type="dxa"/>
          </w:tcPr>
          <w:p w14:paraId="45CD5D7C">
            <w:pPr>
              <w:keepNext/>
              <w:topLinePunct/>
              <w:spacing w:line="360" w:lineRule="auto"/>
              <w:ind w:firstLine="422"/>
              <w:jc w:val="center"/>
              <w:rPr>
                <w:rFonts w:asciiTheme="minorEastAsia" w:hAnsiTheme="minorEastAsia" w:eastAsiaTheme="minorEastAsia" w:cstheme="minorEastAsia"/>
                <w:b/>
                <w:color w:val="auto"/>
                <w:szCs w:val="21"/>
                <w:highlight w:val="none"/>
              </w:rPr>
            </w:pPr>
          </w:p>
        </w:tc>
        <w:tc>
          <w:tcPr>
            <w:tcW w:w="1146" w:type="dxa"/>
          </w:tcPr>
          <w:p w14:paraId="3F25A178">
            <w:pPr>
              <w:keepNext/>
              <w:topLinePunct/>
              <w:spacing w:line="360" w:lineRule="auto"/>
              <w:ind w:firstLine="422"/>
              <w:jc w:val="center"/>
              <w:rPr>
                <w:rFonts w:asciiTheme="minorEastAsia" w:hAnsiTheme="minorEastAsia" w:eastAsiaTheme="minorEastAsia" w:cstheme="minorEastAsia"/>
                <w:b/>
                <w:color w:val="auto"/>
                <w:szCs w:val="21"/>
                <w:highlight w:val="none"/>
              </w:rPr>
            </w:pPr>
          </w:p>
        </w:tc>
        <w:tc>
          <w:tcPr>
            <w:tcW w:w="1729" w:type="dxa"/>
          </w:tcPr>
          <w:p w14:paraId="14C44503">
            <w:pPr>
              <w:keepNext/>
              <w:topLinePunct/>
              <w:spacing w:line="360" w:lineRule="auto"/>
              <w:ind w:firstLine="422"/>
              <w:jc w:val="center"/>
              <w:rPr>
                <w:rFonts w:asciiTheme="minorEastAsia" w:hAnsiTheme="minorEastAsia" w:eastAsiaTheme="minorEastAsia" w:cstheme="minorEastAsia"/>
                <w:b/>
                <w:color w:val="auto"/>
                <w:szCs w:val="21"/>
                <w:highlight w:val="none"/>
              </w:rPr>
            </w:pPr>
          </w:p>
        </w:tc>
        <w:tc>
          <w:tcPr>
            <w:tcW w:w="1259" w:type="dxa"/>
          </w:tcPr>
          <w:p w14:paraId="5522FFD7">
            <w:pPr>
              <w:keepNext/>
              <w:topLinePunct/>
              <w:spacing w:line="360" w:lineRule="auto"/>
              <w:ind w:firstLine="422"/>
              <w:rPr>
                <w:rFonts w:asciiTheme="minorEastAsia" w:hAnsiTheme="minorEastAsia" w:eastAsiaTheme="minorEastAsia" w:cstheme="minorEastAsia"/>
                <w:b/>
                <w:color w:val="auto"/>
                <w:szCs w:val="21"/>
                <w:highlight w:val="none"/>
              </w:rPr>
            </w:pPr>
          </w:p>
        </w:tc>
      </w:tr>
    </w:tbl>
    <w:p w14:paraId="0B44E340">
      <w:pPr>
        <w:bidi w:val="0"/>
        <w:rPr>
          <w:rFonts w:hint="eastAsia" w:ascii="仿宋" w:hAnsi="仿宋" w:eastAsia="仿宋" w:cs="仿宋"/>
          <w:highlight w:val="none"/>
        </w:rPr>
      </w:pPr>
    </w:p>
    <w:p w14:paraId="403AA568">
      <w:pPr>
        <w:pStyle w:val="17"/>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注：</w:t>
      </w:r>
    </w:p>
    <w:p w14:paraId="06EC8363">
      <w:pPr>
        <w:pStyle w:val="28"/>
        <w:keepNext w:val="0"/>
        <w:keepLines w:val="0"/>
        <w:pageBreakBefore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采购标的或报价产品属《网络关键设备和网络安全专用产品目录》的网络安全专用产品，</w:t>
      </w:r>
      <w:r>
        <w:rPr>
          <w:rFonts w:hint="eastAsia" w:ascii="仿宋" w:hAnsi="仿宋" w:eastAsia="仿宋" w:cs="仿宋"/>
          <w:sz w:val="24"/>
          <w:szCs w:val="24"/>
          <w:highlight w:val="none"/>
          <w:lang w:eastAsia="zh-CN"/>
        </w:rPr>
        <w:t>投标人</w:t>
      </w:r>
      <w:r>
        <w:rPr>
          <w:rFonts w:hint="eastAsia" w:ascii="仿宋" w:hAnsi="仿宋" w:eastAsia="仿宋" w:cs="仿宋"/>
          <w:sz w:val="24"/>
          <w:szCs w:val="24"/>
          <w:highlight w:val="none"/>
        </w:rPr>
        <w:t>须提供具备资格的机构依据GB 42250《信息安全技术 网络安全专用产品安全技术要求》等相关国家标准强制性要求检测的安全认证合格或者安全检测符合要求的证明材料或对此前已经获得有效的《计算机信息系统安全专用产品销售许可证》。</w:t>
      </w:r>
    </w:p>
    <w:p w14:paraId="232A3D12">
      <w:pPr>
        <w:rPr>
          <w:rFonts w:hint="eastAsia" w:ascii="仿宋" w:hAnsi="仿宋" w:eastAsia="仿宋" w:cs="仿宋"/>
          <w:sz w:val="24"/>
          <w:szCs w:val="24"/>
          <w:highlight w:val="none"/>
        </w:rPr>
      </w:pPr>
      <w:r>
        <w:rPr>
          <w:rFonts w:hint="eastAsia" w:ascii="仿宋" w:hAnsi="仿宋" w:eastAsia="仿宋" w:cs="仿宋"/>
          <w:sz w:val="24"/>
          <w:szCs w:val="24"/>
          <w:highlight w:val="none"/>
        </w:rPr>
        <w:br w:type="page"/>
      </w:r>
    </w:p>
    <w:p w14:paraId="54B0F8AE">
      <w:pPr>
        <w:pStyle w:val="28"/>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val="en-US" w:eastAsia="zh-CN"/>
        </w:rPr>
        <w:t>四</w:t>
      </w:r>
      <w:r>
        <w:rPr>
          <w:rFonts w:hint="eastAsia" w:ascii="仿宋" w:hAnsi="仿宋" w:eastAsia="仿宋" w:cs="仿宋"/>
          <w:b/>
          <w:color w:val="auto"/>
          <w:sz w:val="24"/>
          <w:szCs w:val="24"/>
          <w:highlight w:val="none"/>
        </w:rPr>
        <w:t>）正版软件承诺格式（如不涉及，此函可不提供）</w:t>
      </w:r>
    </w:p>
    <w:p w14:paraId="0D2FE7A1">
      <w:pPr>
        <w:spacing w:line="480" w:lineRule="exact"/>
        <w:ind w:firstLine="3267" w:firstLineChars="135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正版软件承诺</w:t>
      </w:r>
    </w:p>
    <w:p w14:paraId="6B0CAAC7">
      <w:pPr>
        <w:spacing w:line="360" w:lineRule="auto"/>
        <w:rPr>
          <w:rFonts w:hint="eastAsia" w:ascii="仿宋" w:hAnsi="仿宋" w:eastAsia="仿宋" w:cs="仿宋"/>
          <w:color w:val="auto"/>
          <w:sz w:val="24"/>
          <w:szCs w:val="24"/>
          <w:highlight w:val="none"/>
          <w:u w:val="single"/>
        </w:rPr>
      </w:pPr>
    </w:p>
    <w:p w14:paraId="2D1A87B8">
      <w:pPr>
        <w:spacing w:line="360" w:lineRule="auto"/>
        <w:rPr>
          <w:rFonts w:hint="eastAsia" w:ascii="仿宋" w:hAnsi="仿宋" w:eastAsia="仿宋" w:cs="仿宋"/>
          <w:color w:val="auto"/>
          <w:sz w:val="24"/>
          <w:szCs w:val="24"/>
          <w:highlight w:val="none"/>
          <w:u w:val="single"/>
        </w:rPr>
      </w:pPr>
      <w:r>
        <w:rPr>
          <w:rFonts w:hint="eastAsia" w:ascii="仿宋" w:hAnsi="仿宋" w:eastAsia="仿宋" w:cs="仿宋"/>
          <w:color w:val="auto"/>
          <w:kern w:val="0"/>
          <w:sz w:val="24"/>
          <w:szCs w:val="24"/>
          <w:highlight w:val="none"/>
          <w:u w:val="single"/>
          <w:lang w:eastAsia="zh-CN"/>
        </w:rPr>
        <w:t>（采购</w:t>
      </w:r>
      <w:r>
        <w:rPr>
          <w:rFonts w:hint="eastAsia" w:ascii="仿宋" w:hAnsi="仿宋" w:eastAsia="仿宋" w:cs="仿宋"/>
          <w:color w:val="auto"/>
          <w:kern w:val="0"/>
          <w:sz w:val="24"/>
          <w:szCs w:val="24"/>
          <w:highlight w:val="none"/>
          <w:u w:val="single"/>
        </w:rPr>
        <w:t>代理公司名称</w:t>
      </w:r>
      <w:r>
        <w:rPr>
          <w:rFonts w:hint="eastAsia" w:ascii="仿宋" w:hAnsi="仿宋" w:eastAsia="仿宋" w:cs="仿宋"/>
          <w:color w:val="auto"/>
          <w:kern w:val="0"/>
          <w:sz w:val="24"/>
          <w:szCs w:val="24"/>
          <w:highlight w:val="none"/>
          <w:u w:val="single"/>
          <w:lang w:eastAsia="zh-CN"/>
        </w:rPr>
        <w:t>）</w:t>
      </w:r>
      <w:r>
        <w:rPr>
          <w:rFonts w:hint="eastAsia" w:ascii="仿宋" w:hAnsi="仿宋" w:eastAsia="仿宋" w:cs="仿宋"/>
          <w:color w:val="auto"/>
          <w:sz w:val="24"/>
          <w:szCs w:val="24"/>
          <w:highlight w:val="none"/>
          <w:u w:val="single"/>
        </w:rPr>
        <w:t>：</w:t>
      </w:r>
    </w:p>
    <w:p w14:paraId="6B5FC893">
      <w:pPr>
        <w:pStyle w:val="28"/>
        <w:snapToGrid w:val="0"/>
        <w:spacing w:line="360" w:lineRule="auto"/>
        <w:ind w:firstLine="480" w:firstLineChars="200"/>
        <w:rPr>
          <w:rFonts w:hint="eastAsia" w:ascii="仿宋" w:hAnsi="仿宋" w:eastAsia="仿宋" w:cs="仿宋"/>
          <w:color w:val="auto"/>
          <w:sz w:val="24"/>
          <w:szCs w:val="24"/>
          <w:highlight w:val="none"/>
        </w:rPr>
      </w:pPr>
    </w:p>
    <w:p w14:paraId="2C56C18F">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本供应商现参与项目</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lang w:val="en-US" w:eastAsia="zh-CN"/>
        </w:rPr>
        <w:t>采购编号：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）的采购活动，本公司承诺投报的计算机产品预装正版操作系统，投报的硬件产品内的预装软件为正版软件。</w:t>
      </w:r>
    </w:p>
    <w:p w14:paraId="20B5C75D">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如上述声明不真实，愿意按照政府采购有关法律法规的规定接受处罚。</w:t>
      </w:r>
    </w:p>
    <w:p w14:paraId="4126C800">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特此声明</w:t>
      </w:r>
    </w:p>
    <w:p w14:paraId="0A70DB4F">
      <w:pPr>
        <w:widowControl/>
        <w:tabs>
          <w:tab w:val="left" w:pos="4000"/>
        </w:tabs>
        <w:snapToGrid w:val="0"/>
        <w:spacing w:line="480" w:lineRule="auto"/>
        <w:ind w:firstLine="3120" w:firstLineChars="1300"/>
        <w:jc w:val="left"/>
        <w:rPr>
          <w:rFonts w:hint="eastAsia" w:ascii="仿宋" w:hAnsi="仿宋" w:eastAsia="仿宋" w:cs="仿宋"/>
          <w:color w:val="auto"/>
          <w:kern w:val="0"/>
          <w:sz w:val="24"/>
          <w:szCs w:val="24"/>
          <w:highlight w:val="none"/>
        </w:rPr>
      </w:pPr>
    </w:p>
    <w:p w14:paraId="6760CD23">
      <w:pPr>
        <w:widowControl/>
        <w:tabs>
          <w:tab w:val="left" w:pos="4000"/>
        </w:tabs>
        <w:snapToGrid w:val="0"/>
        <w:spacing w:line="480" w:lineRule="auto"/>
        <w:ind w:firstLine="3120" w:firstLineChars="13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(盖章)</w:t>
      </w:r>
    </w:p>
    <w:p w14:paraId="38A8650F">
      <w:pPr>
        <w:snapToGrid w:val="0"/>
        <w:spacing w:line="480" w:lineRule="auto"/>
        <w:ind w:firstLine="3120" w:firstLineChars="1300"/>
        <w:rPr>
          <w:rFonts w:hint="eastAsia" w:ascii="仿宋" w:hAnsi="仿宋" w:eastAsia="仿宋" w:cs="仿宋"/>
          <w:color w:val="auto"/>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pacing w:val="0"/>
          <w:kern w:val="21"/>
          <w:sz w:val="24"/>
          <w:szCs w:val="24"/>
          <w:highlight w:val="none"/>
          <w:u w:val="single"/>
        </w:rPr>
        <w:t xml:space="preserve">                    </w:t>
      </w:r>
    </w:p>
    <w:p w14:paraId="04E57A2E">
      <w:pPr>
        <w:tabs>
          <w:tab w:val="left" w:pos="1680"/>
        </w:tabs>
        <w:snapToGrid w:val="0"/>
        <w:spacing w:line="360" w:lineRule="auto"/>
        <w:rPr>
          <w:rFonts w:hint="eastAsia" w:ascii="仿宋" w:hAnsi="仿宋" w:eastAsia="仿宋" w:cs="仿宋"/>
          <w:b/>
          <w:color w:val="auto"/>
          <w:kern w:val="0"/>
          <w:sz w:val="24"/>
          <w:szCs w:val="24"/>
          <w:highlight w:val="none"/>
          <w:lang w:eastAsia="zh-CN"/>
        </w:rPr>
      </w:pPr>
      <w:r>
        <w:rPr>
          <w:rFonts w:hint="eastAsia" w:ascii="仿宋" w:hAnsi="仿宋" w:eastAsia="仿宋" w:cs="仿宋"/>
          <w:color w:val="auto"/>
          <w:highlight w:val="none"/>
        </w:rPr>
        <w:br w:type="page"/>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val="en-US" w:eastAsia="zh-CN"/>
        </w:rPr>
        <w:t>五</w:t>
      </w:r>
      <w:r>
        <w:rPr>
          <w:rFonts w:hint="eastAsia" w:ascii="仿宋" w:hAnsi="仿宋" w:eastAsia="仿宋" w:cs="仿宋"/>
          <w:b/>
          <w:color w:val="auto"/>
          <w:sz w:val="24"/>
          <w:szCs w:val="24"/>
          <w:highlight w:val="none"/>
        </w:rPr>
        <w:t>）</w:t>
      </w:r>
      <w:r>
        <w:rPr>
          <w:rFonts w:hint="eastAsia" w:ascii="仿宋" w:hAnsi="仿宋" w:eastAsia="仿宋" w:cs="仿宋"/>
          <w:b/>
          <w:color w:val="auto"/>
          <w:kern w:val="0"/>
          <w:sz w:val="24"/>
          <w:szCs w:val="24"/>
          <w:highlight w:val="none"/>
          <w:lang w:eastAsia="zh-CN"/>
        </w:rPr>
        <w:t>中小企业声明函</w:t>
      </w:r>
      <w:r>
        <w:rPr>
          <w:rFonts w:hint="eastAsia" w:ascii="仿宋" w:hAnsi="仿宋" w:eastAsia="仿宋" w:cs="仿宋"/>
          <w:b/>
          <w:color w:val="auto"/>
          <w:kern w:val="0"/>
          <w:sz w:val="24"/>
          <w:szCs w:val="24"/>
          <w:highlight w:val="none"/>
          <w:lang w:val="en-US" w:eastAsia="zh-CN"/>
        </w:rPr>
        <w:t>格式</w:t>
      </w:r>
      <w:r>
        <w:rPr>
          <w:rFonts w:hint="eastAsia" w:ascii="仿宋" w:hAnsi="仿宋" w:eastAsia="仿宋" w:cs="仿宋"/>
          <w:b/>
          <w:color w:val="auto"/>
          <w:sz w:val="24"/>
          <w:szCs w:val="24"/>
          <w:highlight w:val="none"/>
        </w:rPr>
        <w:t>（如不涉及，可不提供）</w:t>
      </w:r>
    </w:p>
    <w:p w14:paraId="51F0F3D3">
      <w:pPr>
        <w:keepNext w:val="0"/>
        <w:keepLines w:val="0"/>
        <w:pageBreakBefore w:val="0"/>
        <w:widowControl w:val="0"/>
        <w:kinsoku/>
        <w:wordWrap/>
        <w:overflowPunct/>
        <w:topLinePunct w:val="0"/>
        <w:autoSpaceDE w:val="0"/>
        <w:autoSpaceDN w:val="0"/>
        <w:bidi w:val="0"/>
        <w:adjustRightInd/>
        <w:snapToGrid/>
        <w:jc w:val="both"/>
        <w:textAlignment w:val="auto"/>
        <w:rPr>
          <w:rFonts w:hint="eastAsia" w:ascii="仿宋" w:hAnsi="仿宋" w:eastAsia="仿宋" w:cs="仿宋"/>
          <w:b/>
          <w:bCs/>
          <w:color w:val="auto"/>
          <w:highlight w:val="none"/>
          <w:lang w:eastAsia="zh-CN"/>
        </w:rPr>
      </w:pPr>
    </w:p>
    <w:p w14:paraId="797FB62F">
      <w:pPr>
        <w:keepNext w:val="0"/>
        <w:keepLines w:val="0"/>
        <w:pageBreakBefore w:val="0"/>
        <w:widowControl w:val="0"/>
        <w:kinsoku/>
        <w:wordWrap/>
        <w:overflowPunct/>
        <w:topLinePunct w:val="0"/>
        <w:autoSpaceDE w:val="0"/>
        <w:autoSpaceDN w:val="0"/>
        <w:bidi w:val="0"/>
        <w:adjustRightInd/>
        <w:snapToGrid/>
        <w:jc w:val="center"/>
        <w:textAlignment w:val="auto"/>
        <w:rPr>
          <w:rFonts w:hint="eastAsia" w:ascii="仿宋" w:hAnsi="仿宋" w:eastAsia="仿宋" w:cs="仿宋"/>
          <w:b w:val="0"/>
          <w:bCs w:val="0"/>
          <w:i w:val="0"/>
          <w:iCs w:val="0"/>
          <w:color w:val="auto"/>
          <w:spacing w:val="0"/>
          <w:w w:val="100"/>
          <w:kern w:val="24"/>
          <w:sz w:val="24"/>
          <w:szCs w:val="24"/>
          <w:highlight w:val="none"/>
        </w:rPr>
      </w:pPr>
      <w:r>
        <w:rPr>
          <w:rFonts w:hint="eastAsia" w:ascii="仿宋" w:hAnsi="仿宋" w:eastAsia="仿宋" w:cs="仿宋"/>
          <w:b w:val="0"/>
          <w:bCs w:val="0"/>
          <w:i w:val="0"/>
          <w:iCs w:val="0"/>
          <w:color w:val="auto"/>
          <w:spacing w:val="0"/>
          <w:w w:val="100"/>
          <w:kern w:val="24"/>
          <w:sz w:val="24"/>
          <w:szCs w:val="24"/>
          <w:highlight w:val="none"/>
        </w:rPr>
        <w:t>中小企业声明函（货物）</w:t>
      </w:r>
    </w:p>
    <w:p w14:paraId="5D702146">
      <w:pPr>
        <w:pStyle w:val="8"/>
        <w:kinsoku w:val="0"/>
        <w:overflowPunct w:val="0"/>
        <w:spacing w:before="2" w:beforeLines="0" w:afterLines="0"/>
        <w:ind w:left="0"/>
        <w:rPr>
          <w:rFonts w:hint="eastAsia" w:ascii="仿宋" w:hAnsi="仿宋" w:eastAsia="仿宋" w:cs="仿宋"/>
          <w:b/>
          <w:i w:val="0"/>
          <w:iCs w:val="0"/>
          <w:color w:val="auto"/>
          <w:spacing w:val="0"/>
          <w:w w:val="100"/>
          <w:kern w:val="24"/>
          <w:sz w:val="24"/>
          <w:szCs w:val="24"/>
          <w:highlight w:val="none"/>
        </w:rPr>
      </w:pPr>
    </w:p>
    <w:p w14:paraId="2F0CB295">
      <w:pPr>
        <w:pStyle w:val="8"/>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ascii="仿宋" w:hAnsi="仿宋" w:eastAsia="仿宋" w:cs="仿宋"/>
          <w:i w:val="0"/>
          <w:iCs w:val="0"/>
          <w:color w:val="auto"/>
          <w:spacing w:val="0"/>
          <w:w w:val="100"/>
          <w:kern w:val="24"/>
          <w:sz w:val="24"/>
          <w:szCs w:val="24"/>
          <w:highlight w:val="none"/>
        </w:rPr>
      </w:pPr>
      <w:r>
        <w:rPr>
          <w:rFonts w:hint="eastAsia" w:ascii="仿宋" w:hAnsi="仿宋" w:eastAsia="仿宋" w:cs="仿宋"/>
          <w:i w:val="0"/>
          <w:iCs w:val="0"/>
          <w:color w:val="auto"/>
          <w:spacing w:val="0"/>
          <w:w w:val="100"/>
          <w:kern w:val="24"/>
          <w:sz w:val="24"/>
          <w:szCs w:val="24"/>
          <w:highlight w:val="none"/>
        </w:rPr>
        <w:t>本公司（联合体）郑重声明，根据《政府采购促进中小企业发展管理办法》（财库﹝2020﹞46号）的规定，本公司（联合体）参加</w:t>
      </w:r>
      <w:r>
        <w:rPr>
          <w:rFonts w:hint="eastAsia" w:ascii="仿宋" w:hAnsi="仿宋" w:eastAsia="仿宋" w:cs="仿宋"/>
          <w:b w:val="0"/>
          <w:bCs w:val="0"/>
          <w:i w:val="0"/>
          <w:iCs w:val="0"/>
          <w:color w:val="auto"/>
          <w:spacing w:val="0"/>
          <w:w w:val="100"/>
          <w:kern w:val="24"/>
          <w:sz w:val="24"/>
          <w:szCs w:val="24"/>
          <w:highlight w:val="none"/>
          <w:u w:val="single"/>
        </w:rPr>
        <w:t>（单位名称）</w:t>
      </w:r>
      <w:r>
        <w:rPr>
          <w:rFonts w:hint="eastAsia" w:ascii="仿宋" w:hAnsi="仿宋" w:eastAsia="仿宋" w:cs="仿宋"/>
          <w:i w:val="0"/>
          <w:iCs w:val="0"/>
          <w:color w:val="auto"/>
          <w:spacing w:val="0"/>
          <w:w w:val="100"/>
          <w:kern w:val="24"/>
          <w:sz w:val="24"/>
          <w:szCs w:val="24"/>
          <w:highlight w:val="none"/>
        </w:rPr>
        <w:t>的</w:t>
      </w:r>
      <w:r>
        <w:rPr>
          <w:rFonts w:hint="eastAsia" w:ascii="仿宋" w:hAnsi="仿宋" w:eastAsia="仿宋" w:cs="仿宋"/>
          <w:b w:val="0"/>
          <w:bCs w:val="0"/>
          <w:i w:val="0"/>
          <w:iCs w:val="0"/>
          <w:color w:val="auto"/>
          <w:spacing w:val="0"/>
          <w:w w:val="100"/>
          <w:kern w:val="24"/>
          <w:sz w:val="24"/>
          <w:szCs w:val="24"/>
          <w:highlight w:val="none"/>
          <w:u w:val="single"/>
        </w:rPr>
        <w:t>（项目名称）</w:t>
      </w:r>
      <w:r>
        <w:rPr>
          <w:rFonts w:hint="eastAsia" w:ascii="仿宋" w:hAnsi="仿宋" w:eastAsia="仿宋" w:cs="仿宋"/>
          <w:i w:val="0"/>
          <w:iCs w:val="0"/>
          <w:color w:val="auto"/>
          <w:spacing w:val="0"/>
          <w:w w:val="100"/>
          <w:kern w:val="24"/>
          <w:sz w:val="24"/>
          <w:szCs w:val="24"/>
          <w:highlight w:val="none"/>
        </w:rPr>
        <w:t>采购活动，提供的货物全部由符合政策要求的中小企业制造。相关企业（含联合体中的中小企业、签订分包意向协议的中小企业）的具体情况如下：</w:t>
      </w:r>
    </w:p>
    <w:p w14:paraId="4DD4A9D1">
      <w:pPr>
        <w:pStyle w:val="8"/>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ascii="仿宋" w:hAnsi="仿宋" w:eastAsia="仿宋" w:cs="仿宋"/>
          <w:i w:val="0"/>
          <w:iCs w:val="0"/>
          <w:color w:val="auto"/>
          <w:spacing w:val="0"/>
          <w:w w:val="100"/>
          <w:kern w:val="24"/>
          <w:sz w:val="24"/>
          <w:szCs w:val="24"/>
          <w:highlight w:val="none"/>
        </w:rPr>
      </w:pPr>
      <w:r>
        <w:rPr>
          <w:rFonts w:hint="eastAsia" w:ascii="仿宋" w:hAnsi="仿宋" w:eastAsia="仿宋" w:cs="仿宋"/>
          <w:i w:val="0"/>
          <w:iCs w:val="0"/>
          <w:color w:val="auto"/>
          <w:spacing w:val="0"/>
          <w:w w:val="100"/>
          <w:kern w:val="24"/>
          <w:sz w:val="24"/>
          <w:szCs w:val="24"/>
          <w:highlight w:val="none"/>
          <w:lang w:val="en-US" w:eastAsia="zh-CN"/>
        </w:rPr>
        <w:t>1、</w:t>
      </w:r>
      <w:r>
        <w:rPr>
          <w:rFonts w:hint="eastAsia" w:ascii="仿宋" w:hAnsi="仿宋" w:eastAsia="仿宋" w:cs="仿宋"/>
          <w:b w:val="0"/>
          <w:bCs w:val="0"/>
          <w:i w:val="0"/>
          <w:iCs w:val="0"/>
          <w:color w:val="auto"/>
          <w:spacing w:val="0"/>
          <w:w w:val="100"/>
          <w:kern w:val="24"/>
          <w:sz w:val="24"/>
          <w:szCs w:val="24"/>
          <w:highlight w:val="none"/>
          <w:u w:val="single"/>
        </w:rPr>
        <w:t>（标的名称），</w:t>
      </w:r>
      <w:r>
        <w:rPr>
          <w:rFonts w:hint="eastAsia" w:ascii="仿宋" w:hAnsi="仿宋" w:eastAsia="仿宋" w:cs="仿宋"/>
          <w:i w:val="0"/>
          <w:iCs w:val="0"/>
          <w:color w:val="auto"/>
          <w:spacing w:val="0"/>
          <w:w w:val="100"/>
          <w:kern w:val="24"/>
          <w:sz w:val="24"/>
          <w:szCs w:val="24"/>
          <w:highlight w:val="none"/>
        </w:rPr>
        <w:t>属于</w:t>
      </w:r>
      <w:r>
        <w:rPr>
          <w:rFonts w:hint="eastAsia" w:ascii="仿宋" w:hAnsi="仿宋" w:eastAsia="仿宋" w:cs="仿宋"/>
          <w:i w:val="0"/>
          <w:iCs w:val="0"/>
          <w:color w:val="auto"/>
          <w:spacing w:val="0"/>
          <w:w w:val="100"/>
          <w:kern w:val="24"/>
          <w:sz w:val="24"/>
          <w:szCs w:val="24"/>
          <w:highlight w:val="none"/>
          <w:u w:val="single"/>
          <w:lang w:eastAsia="zh-CN"/>
        </w:rPr>
        <w:t>（</w:t>
      </w:r>
      <w:r>
        <w:rPr>
          <w:rFonts w:hint="eastAsia" w:ascii="仿宋" w:hAnsi="仿宋" w:eastAsia="仿宋" w:cs="仿宋"/>
          <w:i w:val="0"/>
          <w:iCs w:val="0"/>
          <w:color w:val="auto"/>
          <w:spacing w:val="0"/>
          <w:w w:val="100"/>
          <w:kern w:val="24"/>
          <w:sz w:val="24"/>
          <w:szCs w:val="24"/>
          <w:highlight w:val="none"/>
          <w:u w:val="single"/>
        </w:rPr>
        <w:t>采购文件中明确的所属行业）</w:t>
      </w:r>
      <w:r>
        <w:rPr>
          <w:rFonts w:hint="eastAsia" w:ascii="仿宋" w:hAnsi="仿宋" w:eastAsia="仿宋" w:cs="仿宋"/>
          <w:i w:val="0"/>
          <w:iCs w:val="0"/>
          <w:color w:val="auto"/>
          <w:spacing w:val="0"/>
          <w:w w:val="100"/>
          <w:kern w:val="24"/>
          <w:sz w:val="24"/>
          <w:szCs w:val="24"/>
          <w:highlight w:val="none"/>
        </w:rPr>
        <w:t>行业；制造商为</w:t>
      </w:r>
      <w:r>
        <w:rPr>
          <w:rFonts w:hint="eastAsia" w:ascii="仿宋" w:hAnsi="仿宋" w:eastAsia="仿宋" w:cs="仿宋"/>
          <w:i w:val="0"/>
          <w:iCs w:val="0"/>
          <w:color w:val="auto"/>
          <w:spacing w:val="0"/>
          <w:w w:val="100"/>
          <w:kern w:val="24"/>
          <w:sz w:val="24"/>
          <w:szCs w:val="24"/>
          <w:highlight w:val="none"/>
          <w:u w:val="single"/>
        </w:rPr>
        <w:t>（企业名称）</w:t>
      </w:r>
      <w:r>
        <w:rPr>
          <w:rFonts w:hint="eastAsia" w:ascii="仿宋" w:hAnsi="仿宋" w:eastAsia="仿宋" w:cs="仿宋"/>
          <w:i w:val="0"/>
          <w:iCs w:val="0"/>
          <w:color w:val="auto"/>
          <w:spacing w:val="0"/>
          <w:w w:val="100"/>
          <w:kern w:val="24"/>
          <w:sz w:val="24"/>
          <w:szCs w:val="24"/>
          <w:highlight w:val="none"/>
        </w:rPr>
        <w:t>，从业人员</w:t>
      </w:r>
      <w:r>
        <w:rPr>
          <w:rFonts w:hint="eastAsia" w:ascii="仿宋" w:hAnsi="仿宋" w:eastAsia="仿宋" w:cs="仿宋"/>
          <w:i w:val="0"/>
          <w:iCs w:val="0"/>
          <w:color w:val="auto"/>
          <w:spacing w:val="0"/>
          <w:w w:val="100"/>
          <w:kern w:val="24"/>
          <w:sz w:val="24"/>
          <w:szCs w:val="24"/>
          <w:highlight w:val="none"/>
          <w:u w:val="single"/>
          <w:lang w:val="en-US" w:eastAsia="zh-CN"/>
        </w:rPr>
        <w:t xml:space="preserve">      </w:t>
      </w:r>
      <w:r>
        <w:rPr>
          <w:rFonts w:hint="eastAsia" w:ascii="仿宋" w:hAnsi="仿宋" w:eastAsia="仿宋" w:cs="仿宋"/>
          <w:i w:val="0"/>
          <w:iCs w:val="0"/>
          <w:color w:val="auto"/>
          <w:spacing w:val="0"/>
          <w:w w:val="100"/>
          <w:kern w:val="24"/>
          <w:sz w:val="24"/>
          <w:szCs w:val="24"/>
          <w:highlight w:val="none"/>
        </w:rPr>
        <w:t>人，营业收入为</w:t>
      </w:r>
      <w:r>
        <w:rPr>
          <w:rFonts w:hint="eastAsia" w:ascii="仿宋" w:hAnsi="仿宋" w:eastAsia="仿宋" w:cs="仿宋"/>
          <w:i w:val="0"/>
          <w:iCs w:val="0"/>
          <w:color w:val="auto"/>
          <w:spacing w:val="0"/>
          <w:w w:val="100"/>
          <w:kern w:val="24"/>
          <w:sz w:val="24"/>
          <w:szCs w:val="24"/>
          <w:highlight w:val="none"/>
          <w:u w:val="single"/>
          <w:lang w:val="en-US" w:eastAsia="zh-CN"/>
        </w:rPr>
        <w:t xml:space="preserve">     </w:t>
      </w:r>
      <w:r>
        <w:rPr>
          <w:rFonts w:hint="eastAsia" w:ascii="仿宋" w:hAnsi="仿宋" w:eastAsia="仿宋" w:cs="仿宋"/>
          <w:i w:val="0"/>
          <w:iCs w:val="0"/>
          <w:color w:val="auto"/>
          <w:spacing w:val="0"/>
          <w:w w:val="100"/>
          <w:kern w:val="24"/>
          <w:sz w:val="24"/>
          <w:szCs w:val="24"/>
          <w:highlight w:val="none"/>
        </w:rPr>
        <w:t>万元，资产总额为</w:t>
      </w:r>
      <w:r>
        <w:rPr>
          <w:rFonts w:hint="eastAsia" w:ascii="仿宋" w:hAnsi="仿宋" w:eastAsia="仿宋" w:cs="仿宋"/>
          <w:i w:val="0"/>
          <w:iCs w:val="0"/>
          <w:color w:val="auto"/>
          <w:spacing w:val="0"/>
          <w:w w:val="100"/>
          <w:kern w:val="24"/>
          <w:sz w:val="24"/>
          <w:szCs w:val="24"/>
          <w:highlight w:val="none"/>
          <w:u w:val="single"/>
          <w:lang w:val="en-US" w:eastAsia="zh-CN"/>
        </w:rPr>
        <w:t xml:space="preserve">     </w:t>
      </w:r>
      <w:r>
        <w:rPr>
          <w:rFonts w:hint="eastAsia" w:ascii="仿宋" w:hAnsi="仿宋" w:eastAsia="仿宋" w:cs="仿宋"/>
          <w:i w:val="0"/>
          <w:iCs w:val="0"/>
          <w:color w:val="auto"/>
          <w:spacing w:val="0"/>
          <w:w w:val="100"/>
          <w:kern w:val="24"/>
          <w:sz w:val="24"/>
          <w:szCs w:val="24"/>
          <w:highlight w:val="none"/>
        </w:rPr>
        <w:t>万元</w:t>
      </w:r>
      <w:r>
        <w:rPr>
          <w:rFonts w:hint="eastAsia" w:ascii="仿宋" w:hAnsi="仿宋" w:eastAsia="仿宋" w:cs="仿宋"/>
          <w:b w:val="0"/>
          <w:bCs w:val="0"/>
          <w:i w:val="0"/>
          <w:iCs w:val="0"/>
          <w:color w:val="auto"/>
          <w:spacing w:val="0"/>
          <w:w w:val="100"/>
          <w:kern w:val="24"/>
          <w:sz w:val="24"/>
          <w:szCs w:val="24"/>
          <w:highlight w:val="none"/>
          <w:vertAlign w:val="superscript"/>
          <w:lang w:val="en-US" w:eastAsia="zh-CN"/>
        </w:rPr>
        <w:t>1</w:t>
      </w:r>
      <w:r>
        <w:rPr>
          <w:rFonts w:hint="eastAsia" w:ascii="仿宋" w:hAnsi="仿宋" w:eastAsia="仿宋" w:cs="仿宋"/>
          <w:i w:val="0"/>
          <w:iCs w:val="0"/>
          <w:color w:val="auto"/>
          <w:spacing w:val="0"/>
          <w:w w:val="100"/>
          <w:kern w:val="24"/>
          <w:sz w:val="24"/>
          <w:szCs w:val="24"/>
          <w:highlight w:val="none"/>
        </w:rPr>
        <w:t>，属于</w:t>
      </w:r>
      <w:r>
        <w:rPr>
          <w:rFonts w:hint="eastAsia" w:ascii="仿宋" w:hAnsi="仿宋" w:eastAsia="仿宋" w:cs="仿宋"/>
          <w:i w:val="0"/>
          <w:iCs w:val="0"/>
          <w:color w:val="auto"/>
          <w:spacing w:val="0"/>
          <w:w w:val="100"/>
          <w:kern w:val="24"/>
          <w:sz w:val="24"/>
          <w:szCs w:val="24"/>
          <w:highlight w:val="none"/>
          <w:u w:val="single"/>
        </w:rPr>
        <w:t>（中型企业、小型企业、微型企业）</w:t>
      </w:r>
      <w:r>
        <w:rPr>
          <w:rFonts w:hint="eastAsia" w:ascii="仿宋" w:hAnsi="仿宋" w:eastAsia="仿宋" w:cs="仿宋"/>
          <w:i w:val="0"/>
          <w:iCs w:val="0"/>
          <w:color w:val="auto"/>
          <w:spacing w:val="0"/>
          <w:w w:val="100"/>
          <w:kern w:val="24"/>
          <w:sz w:val="24"/>
          <w:szCs w:val="24"/>
          <w:highlight w:val="none"/>
        </w:rPr>
        <w:t>；</w:t>
      </w:r>
    </w:p>
    <w:p w14:paraId="6B08E52B">
      <w:pPr>
        <w:pStyle w:val="8"/>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ascii="仿宋" w:hAnsi="仿宋" w:eastAsia="仿宋" w:cs="仿宋"/>
          <w:i w:val="0"/>
          <w:iCs w:val="0"/>
          <w:color w:val="auto"/>
          <w:spacing w:val="0"/>
          <w:w w:val="100"/>
          <w:kern w:val="24"/>
          <w:sz w:val="24"/>
          <w:szCs w:val="24"/>
          <w:highlight w:val="none"/>
        </w:rPr>
      </w:pPr>
      <w:r>
        <w:rPr>
          <w:rFonts w:hint="eastAsia" w:ascii="仿宋" w:hAnsi="仿宋" w:eastAsia="仿宋" w:cs="仿宋"/>
          <w:i w:val="0"/>
          <w:iCs w:val="0"/>
          <w:color w:val="auto"/>
          <w:spacing w:val="0"/>
          <w:w w:val="100"/>
          <w:kern w:val="24"/>
          <w:sz w:val="24"/>
          <w:szCs w:val="24"/>
          <w:highlight w:val="none"/>
          <w:lang w:val="en-US" w:eastAsia="zh-CN"/>
        </w:rPr>
        <w:t>2、</w:t>
      </w:r>
      <w:r>
        <w:rPr>
          <w:rFonts w:hint="eastAsia" w:ascii="仿宋" w:hAnsi="仿宋" w:eastAsia="仿宋" w:cs="仿宋"/>
          <w:i w:val="0"/>
          <w:iCs w:val="0"/>
          <w:color w:val="auto"/>
          <w:spacing w:val="0"/>
          <w:w w:val="100"/>
          <w:kern w:val="24"/>
          <w:sz w:val="24"/>
          <w:szCs w:val="24"/>
          <w:highlight w:val="none"/>
          <w:u w:val="single"/>
        </w:rPr>
        <w:t>（标的名称）</w:t>
      </w:r>
      <w:r>
        <w:rPr>
          <w:rFonts w:hint="eastAsia" w:ascii="仿宋" w:hAnsi="仿宋" w:eastAsia="仿宋" w:cs="仿宋"/>
          <w:i w:val="0"/>
          <w:iCs w:val="0"/>
          <w:color w:val="auto"/>
          <w:spacing w:val="0"/>
          <w:w w:val="100"/>
          <w:kern w:val="24"/>
          <w:sz w:val="24"/>
          <w:szCs w:val="24"/>
          <w:highlight w:val="none"/>
        </w:rPr>
        <w:t>，属于</w:t>
      </w:r>
      <w:r>
        <w:rPr>
          <w:rFonts w:hint="eastAsia" w:ascii="仿宋" w:hAnsi="仿宋" w:eastAsia="仿宋" w:cs="仿宋"/>
          <w:i w:val="0"/>
          <w:iCs w:val="0"/>
          <w:color w:val="auto"/>
          <w:spacing w:val="0"/>
          <w:w w:val="100"/>
          <w:kern w:val="24"/>
          <w:sz w:val="24"/>
          <w:szCs w:val="24"/>
          <w:highlight w:val="none"/>
          <w:u w:val="single"/>
          <w:lang w:eastAsia="zh-CN"/>
        </w:rPr>
        <w:t>（</w:t>
      </w:r>
      <w:r>
        <w:rPr>
          <w:rFonts w:hint="eastAsia" w:ascii="仿宋" w:hAnsi="仿宋" w:eastAsia="仿宋" w:cs="仿宋"/>
          <w:i w:val="0"/>
          <w:iCs w:val="0"/>
          <w:color w:val="auto"/>
          <w:spacing w:val="0"/>
          <w:w w:val="100"/>
          <w:kern w:val="24"/>
          <w:sz w:val="24"/>
          <w:szCs w:val="24"/>
          <w:highlight w:val="none"/>
          <w:u w:val="single"/>
        </w:rPr>
        <w:t>采购文件中明确的所属行业）</w:t>
      </w:r>
      <w:r>
        <w:rPr>
          <w:rFonts w:hint="eastAsia" w:ascii="仿宋" w:hAnsi="仿宋" w:eastAsia="仿宋" w:cs="仿宋"/>
          <w:i w:val="0"/>
          <w:iCs w:val="0"/>
          <w:color w:val="auto"/>
          <w:spacing w:val="0"/>
          <w:w w:val="100"/>
          <w:kern w:val="24"/>
          <w:sz w:val="24"/>
          <w:szCs w:val="24"/>
          <w:highlight w:val="none"/>
        </w:rPr>
        <w:t>行业；制造商为</w:t>
      </w:r>
      <w:r>
        <w:rPr>
          <w:rFonts w:hint="eastAsia" w:ascii="仿宋" w:hAnsi="仿宋" w:eastAsia="仿宋" w:cs="仿宋"/>
          <w:i w:val="0"/>
          <w:iCs w:val="0"/>
          <w:color w:val="auto"/>
          <w:spacing w:val="0"/>
          <w:w w:val="100"/>
          <w:kern w:val="24"/>
          <w:sz w:val="24"/>
          <w:szCs w:val="24"/>
          <w:highlight w:val="none"/>
          <w:u w:val="single"/>
        </w:rPr>
        <w:t>（企业名称）</w:t>
      </w:r>
      <w:r>
        <w:rPr>
          <w:rFonts w:hint="eastAsia" w:ascii="仿宋" w:hAnsi="仿宋" w:eastAsia="仿宋" w:cs="仿宋"/>
          <w:i w:val="0"/>
          <w:iCs w:val="0"/>
          <w:color w:val="auto"/>
          <w:spacing w:val="0"/>
          <w:w w:val="100"/>
          <w:kern w:val="24"/>
          <w:sz w:val="24"/>
          <w:szCs w:val="24"/>
          <w:highlight w:val="none"/>
        </w:rPr>
        <w:t>，从业人员</w:t>
      </w:r>
      <w:r>
        <w:rPr>
          <w:rFonts w:hint="eastAsia" w:ascii="仿宋" w:hAnsi="仿宋" w:eastAsia="仿宋" w:cs="仿宋"/>
          <w:i w:val="0"/>
          <w:iCs w:val="0"/>
          <w:color w:val="auto"/>
          <w:spacing w:val="0"/>
          <w:w w:val="100"/>
          <w:kern w:val="24"/>
          <w:sz w:val="24"/>
          <w:szCs w:val="24"/>
          <w:highlight w:val="none"/>
          <w:u w:val="single"/>
          <w:lang w:val="en-US" w:eastAsia="zh-CN"/>
        </w:rPr>
        <w:t xml:space="preserve">      </w:t>
      </w:r>
      <w:r>
        <w:rPr>
          <w:rFonts w:hint="eastAsia" w:ascii="仿宋" w:hAnsi="仿宋" w:eastAsia="仿宋" w:cs="仿宋"/>
          <w:i w:val="0"/>
          <w:iCs w:val="0"/>
          <w:color w:val="auto"/>
          <w:spacing w:val="0"/>
          <w:w w:val="100"/>
          <w:kern w:val="24"/>
          <w:sz w:val="24"/>
          <w:szCs w:val="24"/>
          <w:highlight w:val="none"/>
        </w:rPr>
        <w:t>人，营业收入为</w:t>
      </w:r>
      <w:r>
        <w:rPr>
          <w:rFonts w:hint="eastAsia" w:ascii="仿宋" w:hAnsi="仿宋" w:eastAsia="仿宋" w:cs="仿宋"/>
          <w:i w:val="0"/>
          <w:iCs w:val="0"/>
          <w:color w:val="auto"/>
          <w:spacing w:val="0"/>
          <w:w w:val="100"/>
          <w:kern w:val="24"/>
          <w:sz w:val="24"/>
          <w:szCs w:val="24"/>
          <w:highlight w:val="none"/>
          <w:u w:val="single"/>
          <w:lang w:val="en-US" w:eastAsia="zh-CN"/>
        </w:rPr>
        <w:t xml:space="preserve">     </w:t>
      </w:r>
      <w:r>
        <w:rPr>
          <w:rFonts w:hint="eastAsia" w:ascii="仿宋" w:hAnsi="仿宋" w:eastAsia="仿宋" w:cs="仿宋"/>
          <w:i w:val="0"/>
          <w:iCs w:val="0"/>
          <w:color w:val="auto"/>
          <w:spacing w:val="0"/>
          <w:w w:val="100"/>
          <w:kern w:val="24"/>
          <w:sz w:val="24"/>
          <w:szCs w:val="24"/>
          <w:highlight w:val="none"/>
        </w:rPr>
        <w:t>万元，资产总额为</w:t>
      </w:r>
      <w:r>
        <w:rPr>
          <w:rFonts w:hint="eastAsia" w:ascii="仿宋" w:hAnsi="仿宋" w:eastAsia="仿宋" w:cs="仿宋"/>
          <w:i w:val="0"/>
          <w:iCs w:val="0"/>
          <w:color w:val="auto"/>
          <w:spacing w:val="0"/>
          <w:w w:val="100"/>
          <w:kern w:val="24"/>
          <w:sz w:val="24"/>
          <w:szCs w:val="24"/>
          <w:highlight w:val="none"/>
          <w:u w:val="single"/>
          <w:lang w:val="en-US" w:eastAsia="zh-CN"/>
        </w:rPr>
        <w:t xml:space="preserve">     </w:t>
      </w:r>
      <w:r>
        <w:rPr>
          <w:rFonts w:hint="eastAsia" w:ascii="仿宋" w:hAnsi="仿宋" w:eastAsia="仿宋" w:cs="仿宋"/>
          <w:i w:val="0"/>
          <w:iCs w:val="0"/>
          <w:color w:val="auto"/>
          <w:spacing w:val="0"/>
          <w:w w:val="100"/>
          <w:kern w:val="24"/>
          <w:sz w:val="24"/>
          <w:szCs w:val="24"/>
          <w:highlight w:val="none"/>
        </w:rPr>
        <w:t>万元</w:t>
      </w:r>
      <w:r>
        <w:rPr>
          <w:rFonts w:hint="eastAsia" w:ascii="仿宋" w:hAnsi="仿宋" w:eastAsia="仿宋" w:cs="仿宋"/>
          <w:b w:val="0"/>
          <w:bCs w:val="0"/>
          <w:i w:val="0"/>
          <w:iCs w:val="0"/>
          <w:color w:val="auto"/>
          <w:spacing w:val="0"/>
          <w:w w:val="100"/>
          <w:kern w:val="24"/>
          <w:sz w:val="24"/>
          <w:szCs w:val="24"/>
          <w:highlight w:val="none"/>
          <w:vertAlign w:val="superscript"/>
          <w:lang w:val="en-US" w:eastAsia="zh-CN"/>
        </w:rPr>
        <w:t>1</w:t>
      </w:r>
      <w:r>
        <w:rPr>
          <w:rFonts w:hint="eastAsia" w:ascii="仿宋" w:hAnsi="仿宋" w:eastAsia="仿宋" w:cs="仿宋"/>
          <w:i w:val="0"/>
          <w:iCs w:val="0"/>
          <w:color w:val="auto"/>
          <w:spacing w:val="0"/>
          <w:w w:val="100"/>
          <w:kern w:val="24"/>
          <w:sz w:val="24"/>
          <w:szCs w:val="24"/>
          <w:highlight w:val="none"/>
        </w:rPr>
        <w:t>，属于</w:t>
      </w:r>
      <w:r>
        <w:rPr>
          <w:rFonts w:hint="eastAsia" w:ascii="仿宋" w:hAnsi="仿宋" w:eastAsia="仿宋" w:cs="仿宋"/>
          <w:i w:val="0"/>
          <w:iCs w:val="0"/>
          <w:color w:val="auto"/>
          <w:spacing w:val="0"/>
          <w:w w:val="100"/>
          <w:kern w:val="24"/>
          <w:sz w:val="24"/>
          <w:szCs w:val="24"/>
          <w:highlight w:val="none"/>
          <w:u w:val="single"/>
        </w:rPr>
        <w:t>（中型企业、小型企业、微型企业）</w:t>
      </w:r>
      <w:r>
        <w:rPr>
          <w:rFonts w:hint="eastAsia" w:ascii="仿宋" w:hAnsi="仿宋" w:eastAsia="仿宋" w:cs="仿宋"/>
          <w:i w:val="0"/>
          <w:iCs w:val="0"/>
          <w:color w:val="auto"/>
          <w:spacing w:val="0"/>
          <w:w w:val="100"/>
          <w:kern w:val="24"/>
          <w:sz w:val="24"/>
          <w:szCs w:val="24"/>
          <w:highlight w:val="none"/>
        </w:rPr>
        <w:t>；</w:t>
      </w:r>
    </w:p>
    <w:p w14:paraId="36138AB7">
      <w:pPr>
        <w:pStyle w:val="8"/>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ascii="仿宋" w:hAnsi="仿宋" w:eastAsia="仿宋" w:cs="仿宋"/>
          <w:i w:val="0"/>
          <w:iCs w:val="0"/>
          <w:color w:val="auto"/>
          <w:spacing w:val="0"/>
          <w:w w:val="100"/>
          <w:kern w:val="24"/>
          <w:sz w:val="24"/>
          <w:szCs w:val="24"/>
          <w:highlight w:val="none"/>
        </w:rPr>
      </w:pPr>
      <w:r>
        <w:rPr>
          <w:rFonts w:hint="eastAsia" w:ascii="仿宋" w:hAnsi="仿宋" w:eastAsia="仿宋" w:cs="仿宋"/>
          <w:i w:val="0"/>
          <w:iCs w:val="0"/>
          <w:color w:val="auto"/>
          <w:spacing w:val="0"/>
          <w:w w:val="100"/>
          <w:kern w:val="24"/>
          <w:sz w:val="24"/>
          <w:szCs w:val="24"/>
          <w:highlight w:val="none"/>
        </w:rPr>
        <w:t>……</w:t>
      </w:r>
    </w:p>
    <w:p w14:paraId="1B85B136">
      <w:pPr>
        <w:pStyle w:val="8"/>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ascii="仿宋" w:hAnsi="仿宋" w:eastAsia="仿宋" w:cs="仿宋"/>
          <w:i w:val="0"/>
          <w:iCs w:val="0"/>
          <w:color w:val="auto"/>
          <w:spacing w:val="0"/>
          <w:w w:val="100"/>
          <w:kern w:val="24"/>
          <w:sz w:val="24"/>
          <w:szCs w:val="24"/>
          <w:highlight w:val="none"/>
        </w:rPr>
      </w:pPr>
      <w:r>
        <w:rPr>
          <w:rFonts w:hint="eastAsia" w:ascii="仿宋" w:hAnsi="仿宋" w:eastAsia="仿宋" w:cs="仿宋"/>
          <w:i w:val="0"/>
          <w:iCs w:val="0"/>
          <w:color w:val="auto"/>
          <w:spacing w:val="0"/>
          <w:w w:val="100"/>
          <w:kern w:val="24"/>
          <w:sz w:val="24"/>
          <w:szCs w:val="24"/>
          <w:highlight w:val="none"/>
        </w:rPr>
        <w:t>以上企业，不属于大企业的分支机构，不存在控股股东为大企业的情形，也不存在与大企业的负责人为同一人的情形。</w:t>
      </w:r>
    </w:p>
    <w:p w14:paraId="5796AA8C">
      <w:pPr>
        <w:pStyle w:val="8"/>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ascii="仿宋" w:hAnsi="仿宋" w:eastAsia="仿宋" w:cs="仿宋"/>
          <w:i w:val="0"/>
          <w:iCs w:val="0"/>
          <w:color w:val="auto"/>
          <w:spacing w:val="0"/>
          <w:w w:val="100"/>
          <w:kern w:val="24"/>
          <w:sz w:val="24"/>
          <w:szCs w:val="24"/>
          <w:highlight w:val="none"/>
        </w:rPr>
      </w:pPr>
      <w:r>
        <w:rPr>
          <w:rFonts w:hint="eastAsia" w:ascii="仿宋" w:hAnsi="仿宋" w:eastAsia="仿宋" w:cs="仿宋"/>
          <w:i w:val="0"/>
          <w:iCs w:val="0"/>
          <w:color w:val="auto"/>
          <w:spacing w:val="0"/>
          <w:w w:val="100"/>
          <w:kern w:val="24"/>
          <w:sz w:val="24"/>
          <w:szCs w:val="24"/>
          <w:highlight w:val="none"/>
        </w:rPr>
        <w:t>本企业对上述声明内容的真实性负责。如有虚假，将依法承担相应责任。</w:t>
      </w:r>
    </w:p>
    <w:p w14:paraId="28C8B85B">
      <w:pPr>
        <w:pStyle w:val="8"/>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仿宋" w:hAnsi="仿宋" w:eastAsia="仿宋" w:cs="仿宋"/>
          <w:color w:val="auto"/>
          <w:spacing w:val="0"/>
          <w:w w:val="100"/>
          <w:kern w:val="24"/>
          <w:sz w:val="24"/>
          <w:szCs w:val="24"/>
          <w:highlight w:val="none"/>
        </w:rPr>
      </w:pPr>
    </w:p>
    <w:p w14:paraId="216EDD3E">
      <w:pPr>
        <w:pStyle w:val="8"/>
        <w:keepNext w:val="0"/>
        <w:keepLines w:val="0"/>
        <w:pageBreakBefore w:val="0"/>
        <w:widowControl w:val="0"/>
        <w:kinsoku/>
        <w:wordWrap/>
        <w:overflowPunct/>
        <w:topLinePunct w:val="0"/>
        <w:autoSpaceDE w:val="0"/>
        <w:autoSpaceDN w:val="0"/>
        <w:bidi w:val="0"/>
        <w:adjustRightInd w:val="0"/>
        <w:snapToGrid/>
        <w:spacing w:line="360" w:lineRule="auto"/>
        <w:ind w:left="221" w:leftChars="0" w:firstLine="4178" w:firstLineChars="1741"/>
        <w:jc w:val="left"/>
        <w:textAlignment w:val="auto"/>
        <w:rPr>
          <w:rFonts w:hint="eastAsia" w:ascii="仿宋" w:hAnsi="仿宋" w:eastAsia="仿宋" w:cs="仿宋"/>
          <w:color w:val="auto"/>
          <w:spacing w:val="0"/>
          <w:w w:val="100"/>
          <w:kern w:val="24"/>
          <w:sz w:val="24"/>
          <w:szCs w:val="24"/>
          <w:highlight w:val="none"/>
        </w:rPr>
      </w:pPr>
      <w:r>
        <w:rPr>
          <w:rFonts w:hint="eastAsia" w:ascii="仿宋" w:hAnsi="仿宋" w:eastAsia="仿宋" w:cs="仿宋"/>
          <w:color w:val="auto"/>
          <w:spacing w:val="0"/>
          <w:w w:val="100"/>
          <w:kern w:val="24"/>
          <w:sz w:val="24"/>
          <w:szCs w:val="24"/>
          <w:highlight w:val="none"/>
        </w:rPr>
        <w:t>企业名称（盖章）：</w:t>
      </w:r>
    </w:p>
    <w:p w14:paraId="2AB6A84E">
      <w:pPr>
        <w:pStyle w:val="8"/>
        <w:keepNext w:val="0"/>
        <w:keepLines w:val="0"/>
        <w:pageBreakBefore w:val="0"/>
        <w:widowControl w:val="0"/>
        <w:kinsoku/>
        <w:wordWrap/>
        <w:overflowPunct/>
        <w:topLinePunct w:val="0"/>
        <w:autoSpaceDE w:val="0"/>
        <w:autoSpaceDN w:val="0"/>
        <w:bidi w:val="0"/>
        <w:adjustRightInd w:val="0"/>
        <w:snapToGrid/>
        <w:spacing w:line="360" w:lineRule="auto"/>
        <w:ind w:left="221" w:leftChars="0" w:firstLine="4178" w:firstLineChars="1741"/>
        <w:jc w:val="left"/>
        <w:textAlignment w:val="auto"/>
        <w:rPr>
          <w:rFonts w:hint="eastAsia" w:ascii="仿宋" w:hAnsi="仿宋" w:eastAsia="仿宋" w:cs="仿宋"/>
          <w:color w:val="auto"/>
          <w:spacing w:val="0"/>
          <w:w w:val="100"/>
          <w:kern w:val="24"/>
          <w:sz w:val="24"/>
          <w:szCs w:val="24"/>
          <w:highlight w:val="none"/>
        </w:rPr>
      </w:pPr>
      <w:r>
        <w:rPr>
          <w:rFonts w:hint="eastAsia" w:ascii="仿宋" w:hAnsi="仿宋" w:eastAsia="仿宋" w:cs="仿宋"/>
          <w:color w:val="auto"/>
          <w:spacing w:val="0"/>
          <w:w w:val="100"/>
          <w:kern w:val="24"/>
          <w:sz w:val="24"/>
          <w:szCs w:val="24"/>
          <w:highlight w:val="none"/>
        </w:rPr>
        <w:t>日期：</w:t>
      </w:r>
    </w:p>
    <w:p w14:paraId="795FA541">
      <w:pPr>
        <w:spacing w:line="360" w:lineRule="auto"/>
        <w:rPr>
          <w:rFonts w:hint="eastAsia" w:ascii="仿宋" w:hAnsi="仿宋" w:eastAsia="仿宋" w:cs="仿宋"/>
          <w:i w:val="0"/>
          <w:iCs w:val="0"/>
          <w:color w:val="auto"/>
          <w:spacing w:val="0"/>
          <w:w w:val="100"/>
          <w:kern w:val="24"/>
          <w:sz w:val="24"/>
          <w:szCs w:val="24"/>
          <w:highlight w:val="none"/>
          <w:lang w:val="en-US" w:eastAsia="zh-CN" w:bidi="ar-SA"/>
        </w:rPr>
      </w:pPr>
    </w:p>
    <w:p w14:paraId="18E163D7">
      <w:pPr>
        <w:spacing w:line="360" w:lineRule="auto"/>
        <w:rPr>
          <w:rFonts w:hint="eastAsia" w:ascii="仿宋" w:hAnsi="仿宋" w:eastAsia="仿宋" w:cs="仿宋"/>
          <w:i w:val="0"/>
          <w:iCs w:val="0"/>
          <w:color w:val="auto"/>
          <w:spacing w:val="0"/>
          <w:w w:val="100"/>
          <w:kern w:val="24"/>
          <w:sz w:val="24"/>
          <w:szCs w:val="24"/>
          <w:highlight w:val="none"/>
          <w:lang w:val="en-US" w:eastAsia="zh-CN" w:bidi="ar-SA"/>
        </w:rPr>
      </w:pPr>
      <w:r>
        <w:rPr>
          <w:rFonts w:hint="eastAsia" w:ascii="仿宋" w:hAnsi="仿宋" w:eastAsia="仿宋" w:cs="仿宋"/>
          <w:i w:val="0"/>
          <w:iCs w:val="0"/>
          <w:color w:val="auto"/>
          <w:spacing w:val="0"/>
          <w:w w:val="100"/>
          <w:kern w:val="24"/>
          <w:sz w:val="24"/>
          <w:szCs w:val="24"/>
          <w:highlight w:val="none"/>
          <w:lang w:val="en-US" w:eastAsia="zh-CN" w:bidi="ar-SA"/>
        </w:rPr>
        <w:t>注：</w:t>
      </w:r>
    </w:p>
    <w:p w14:paraId="0B8FB358">
      <w:pPr>
        <w:spacing w:line="360" w:lineRule="auto"/>
        <w:rPr>
          <w:rFonts w:hint="eastAsia" w:ascii="仿宋" w:hAnsi="仿宋" w:eastAsia="仿宋" w:cs="仿宋"/>
          <w:i w:val="0"/>
          <w:iCs w:val="0"/>
          <w:color w:val="auto"/>
          <w:spacing w:val="0"/>
          <w:w w:val="100"/>
          <w:kern w:val="24"/>
          <w:sz w:val="24"/>
          <w:szCs w:val="24"/>
          <w:highlight w:val="none"/>
          <w:lang w:val="en-US" w:eastAsia="zh-CN" w:bidi="ar-SA"/>
        </w:rPr>
      </w:pPr>
      <w:r>
        <w:rPr>
          <w:rFonts w:hint="eastAsia" w:ascii="仿宋" w:hAnsi="仿宋" w:eastAsia="仿宋" w:cs="仿宋"/>
          <w:i w:val="0"/>
          <w:iCs w:val="0"/>
          <w:color w:val="auto"/>
          <w:spacing w:val="0"/>
          <w:w w:val="100"/>
          <w:kern w:val="24"/>
          <w:sz w:val="24"/>
          <w:szCs w:val="24"/>
          <w:highlight w:val="none"/>
          <w:lang w:val="en-US" w:eastAsia="zh-CN" w:bidi="ar-SA"/>
        </w:rPr>
        <w:t>1、从业人员、营业收入、资产总额填报上一年度数据，无上一年度数据的新成立企业可不填报。</w:t>
      </w:r>
    </w:p>
    <w:p w14:paraId="6DC19129">
      <w:pPr>
        <w:spacing w:line="360" w:lineRule="auto"/>
        <w:rPr>
          <w:rFonts w:hint="eastAsia" w:ascii="仿宋" w:hAnsi="仿宋" w:eastAsia="仿宋" w:cs="仿宋"/>
          <w:i w:val="0"/>
          <w:iCs w:val="0"/>
          <w:color w:val="auto"/>
          <w:spacing w:val="0"/>
          <w:w w:val="100"/>
          <w:kern w:val="24"/>
          <w:sz w:val="24"/>
          <w:szCs w:val="24"/>
          <w:highlight w:val="none"/>
          <w:lang w:val="en-US" w:eastAsia="zh-CN" w:bidi="ar-SA"/>
        </w:rPr>
      </w:pPr>
      <w:r>
        <w:rPr>
          <w:rFonts w:hint="eastAsia" w:ascii="仿宋" w:hAnsi="仿宋" w:eastAsia="仿宋" w:cs="仿宋"/>
          <w:i w:val="0"/>
          <w:iCs w:val="0"/>
          <w:color w:val="auto"/>
          <w:spacing w:val="0"/>
          <w:w w:val="100"/>
          <w:kern w:val="24"/>
          <w:sz w:val="24"/>
          <w:szCs w:val="24"/>
          <w:highlight w:val="none"/>
          <w:lang w:val="en-US" w:eastAsia="zh-CN" w:bidi="ar-SA"/>
        </w:rPr>
        <w:t>2、请如实填写中小企业声明函，中标供应商为中小企业的，招标代理机构随中标/成交结果同时公告其《中小企业声明函》。</w:t>
      </w:r>
    </w:p>
    <w:p w14:paraId="3AABF218">
      <w:pPr>
        <w:rPr>
          <w:rFonts w:hint="eastAsia" w:ascii="仿宋" w:hAnsi="仿宋" w:eastAsia="仿宋" w:cs="仿宋"/>
          <w:b/>
          <w:bCs/>
          <w:color w:val="auto"/>
          <w:highlight w:val="none"/>
        </w:rPr>
      </w:pPr>
      <w:r>
        <w:rPr>
          <w:rFonts w:hint="eastAsia" w:ascii="仿宋" w:hAnsi="仿宋" w:eastAsia="仿宋" w:cs="仿宋"/>
          <w:b/>
          <w:bCs/>
          <w:color w:val="auto"/>
          <w:highlight w:val="none"/>
        </w:rPr>
        <w:br w:type="page"/>
      </w:r>
    </w:p>
    <w:p w14:paraId="5EA8CCF7">
      <w:pPr>
        <w:keepNext w:val="0"/>
        <w:keepLines w:val="0"/>
        <w:pageBreakBefore w:val="0"/>
        <w:widowControl w:val="0"/>
        <w:numPr>
          <w:ilvl w:val="0"/>
          <w:numId w:val="0"/>
        </w:numPr>
        <w:kinsoku/>
        <w:wordWrap/>
        <w:overflowPunct/>
        <w:topLinePunct w:val="0"/>
        <w:autoSpaceDE w:val="0"/>
        <w:autoSpaceDN w:val="0"/>
        <w:bidi w:val="0"/>
        <w:adjustRightInd/>
        <w:snapToGrid/>
        <w:jc w:val="both"/>
        <w:textAlignment w:val="auto"/>
        <w:rPr>
          <w:rFonts w:hint="eastAsia" w:ascii="仿宋" w:hAnsi="仿宋" w:eastAsia="仿宋" w:cs="仿宋"/>
          <w:b/>
          <w:color w:val="auto"/>
          <w:kern w:val="0"/>
          <w:sz w:val="24"/>
          <w:szCs w:val="24"/>
          <w:highlight w:val="none"/>
          <w:lang w:val="en-US" w:eastAsia="zh-CN" w:bidi="ar-SA"/>
        </w:rPr>
      </w:pPr>
      <w:r>
        <w:rPr>
          <w:rFonts w:hint="eastAsia" w:ascii="仿宋" w:hAnsi="仿宋" w:eastAsia="仿宋" w:cs="仿宋"/>
          <w:b/>
          <w:color w:val="auto"/>
          <w:kern w:val="0"/>
          <w:sz w:val="24"/>
          <w:szCs w:val="24"/>
          <w:highlight w:val="none"/>
          <w:lang w:val="en-US" w:eastAsia="zh-CN" w:bidi="ar-SA"/>
        </w:rPr>
        <w:t>（六）残疾人福利性单位声明函格式</w:t>
      </w:r>
      <w:r>
        <w:rPr>
          <w:rFonts w:hint="eastAsia" w:ascii="仿宋" w:hAnsi="仿宋" w:eastAsia="仿宋" w:cs="仿宋"/>
          <w:b/>
          <w:color w:val="auto"/>
          <w:sz w:val="24"/>
          <w:szCs w:val="24"/>
          <w:highlight w:val="none"/>
        </w:rPr>
        <w:t>（如不涉及，可不提供）</w:t>
      </w:r>
    </w:p>
    <w:p w14:paraId="76F98722">
      <w:pPr>
        <w:keepNext w:val="0"/>
        <w:keepLines w:val="0"/>
        <w:pageBreakBefore w:val="0"/>
        <w:widowControl w:val="0"/>
        <w:numPr>
          <w:ilvl w:val="0"/>
          <w:numId w:val="0"/>
        </w:numPr>
        <w:kinsoku/>
        <w:wordWrap/>
        <w:overflowPunct/>
        <w:topLinePunct w:val="0"/>
        <w:autoSpaceDE w:val="0"/>
        <w:autoSpaceDN w:val="0"/>
        <w:bidi w:val="0"/>
        <w:adjustRightInd/>
        <w:snapToGrid/>
        <w:jc w:val="both"/>
        <w:textAlignment w:val="auto"/>
        <w:rPr>
          <w:rFonts w:hint="eastAsia" w:ascii="仿宋" w:hAnsi="仿宋" w:eastAsia="仿宋" w:cs="仿宋"/>
          <w:b w:val="0"/>
          <w:bCs w:val="0"/>
          <w:i w:val="0"/>
          <w:iCs w:val="0"/>
          <w:color w:val="auto"/>
          <w:spacing w:val="0"/>
          <w:w w:val="100"/>
          <w:kern w:val="24"/>
          <w:sz w:val="24"/>
          <w:szCs w:val="24"/>
          <w:highlight w:val="none"/>
        </w:rPr>
      </w:pPr>
    </w:p>
    <w:p w14:paraId="484E578A">
      <w:pPr>
        <w:keepNext w:val="0"/>
        <w:keepLines w:val="0"/>
        <w:pageBreakBefore w:val="0"/>
        <w:widowControl w:val="0"/>
        <w:numPr>
          <w:ilvl w:val="0"/>
          <w:numId w:val="0"/>
        </w:numPr>
        <w:kinsoku/>
        <w:wordWrap/>
        <w:overflowPunct/>
        <w:topLinePunct w:val="0"/>
        <w:autoSpaceDE w:val="0"/>
        <w:autoSpaceDN w:val="0"/>
        <w:bidi w:val="0"/>
        <w:adjustRightInd/>
        <w:snapToGrid/>
        <w:jc w:val="center"/>
        <w:textAlignment w:val="auto"/>
        <w:rPr>
          <w:rFonts w:hint="eastAsia" w:ascii="仿宋" w:hAnsi="仿宋" w:eastAsia="仿宋" w:cs="仿宋"/>
          <w:b w:val="0"/>
          <w:bCs w:val="0"/>
          <w:i w:val="0"/>
          <w:iCs w:val="0"/>
          <w:color w:val="auto"/>
          <w:spacing w:val="0"/>
          <w:w w:val="100"/>
          <w:kern w:val="24"/>
          <w:sz w:val="24"/>
          <w:szCs w:val="24"/>
          <w:highlight w:val="none"/>
        </w:rPr>
      </w:pPr>
    </w:p>
    <w:p w14:paraId="35861C45">
      <w:pPr>
        <w:keepNext w:val="0"/>
        <w:keepLines w:val="0"/>
        <w:pageBreakBefore w:val="0"/>
        <w:widowControl w:val="0"/>
        <w:numPr>
          <w:ilvl w:val="0"/>
          <w:numId w:val="0"/>
        </w:numPr>
        <w:kinsoku/>
        <w:wordWrap/>
        <w:overflowPunct/>
        <w:topLinePunct w:val="0"/>
        <w:autoSpaceDE w:val="0"/>
        <w:autoSpaceDN w:val="0"/>
        <w:bidi w:val="0"/>
        <w:adjustRightInd/>
        <w:snapToGrid/>
        <w:jc w:val="center"/>
        <w:textAlignment w:val="auto"/>
        <w:rPr>
          <w:rFonts w:hint="eastAsia" w:ascii="仿宋" w:hAnsi="仿宋" w:eastAsia="仿宋" w:cs="仿宋"/>
          <w:b w:val="0"/>
          <w:bCs w:val="0"/>
          <w:i w:val="0"/>
          <w:iCs w:val="0"/>
          <w:color w:val="auto"/>
          <w:spacing w:val="0"/>
          <w:w w:val="100"/>
          <w:kern w:val="24"/>
          <w:sz w:val="24"/>
          <w:szCs w:val="24"/>
          <w:highlight w:val="none"/>
        </w:rPr>
      </w:pPr>
      <w:r>
        <w:rPr>
          <w:rFonts w:hint="eastAsia" w:ascii="仿宋" w:hAnsi="仿宋" w:eastAsia="仿宋" w:cs="仿宋"/>
          <w:b w:val="0"/>
          <w:bCs w:val="0"/>
          <w:i w:val="0"/>
          <w:iCs w:val="0"/>
          <w:color w:val="auto"/>
          <w:spacing w:val="0"/>
          <w:w w:val="100"/>
          <w:kern w:val="24"/>
          <w:sz w:val="24"/>
          <w:szCs w:val="24"/>
          <w:highlight w:val="none"/>
        </w:rPr>
        <w:t>残疾人福利性单位声明函</w:t>
      </w:r>
    </w:p>
    <w:p w14:paraId="579F48CC">
      <w:pPr>
        <w:shd w:val="clear"/>
        <w:spacing w:line="360" w:lineRule="auto"/>
        <w:ind w:firstLine="504" w:firstLineChars="200"/>
        <w:rPr>
          <w:rFonts w:hint="eastAsia" w:ascii="仿宋" w:hAnsi="仿宋" w:eastAsia="仿宋" w:cs="仿宋"/>
          <w:color w:val="auto"/>
          <w:spacing w:val="6"/>
          <w:sz w:val="24"/>
          <w:szCs w:val="24"/>
          <w:highlight w:val="none"/>
        </w:rPr>
      </w:pPr>
    </w:p>
    <w:p w14:paraId="65B7DB89">
      <w:pPr>
        <w:shd w:val="clear"/>
        <w:spacing w:line="360" w:lineRule="auto"/>
        <w:ind w:firstLine="504"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本单位郑重声明，根据《财政部 民政部 中国残疾人联合会关于促进残疾人就业政府采购政策的通知》（财库</w:t>
      </w:r>
      <w:r>
        <w:rPr>
          <w:rFonts w:hint="eastAsia" w:ascii="仿宋" w:hAnsi="仿宋" w:eastAsia="仿宋" w:cs="仿宋"/>
          <w:color w:val="auto"/>
          <w:sz w:val="24"/>
          <w:szCs w:val="24"/>
          <w:highlight w:val="none"/>
        </w:rPr>
        <w:t>〔2017〕 141</w:t>
      </w:r>
      <w:r>
        <w:rPr>
          <w:rFonts w:hint="eastAsia" w:ascii="仿宋" w:hAnsi="仿宋" w:eastAsia="仿宋" w:cs="仿宋"/>
          <w:color w:val="auto"/>
          <w:spacing w:val="6"/>
          <w:sz w:val="24"/>
          <w:szCs w:val="24"/>
          <w:highlight w:val="none"/>
        </w:rPr>
        <w:t>号）的规定，本单位为符合条件的残疾人福利性单位，且本单位参加______单位的______项目（项目编号：__________________）采购活动提供本单位制造的货物（由本单位承担工程/提供服务），或者提供其他残疾人福利性单位制造的货物（不包括使用非残疾人福利性单位注册商标的货物）。</w:t>
      </w:r>
    </w:p>
    <w:p w14:paraId="4C5488D9">
      <w:pPr>
        <w:shd w:val="clear"/>
        <w:spacing w:line="360" w:lineRule="auto"/>
        <w:ind w:firstLine="504" w:firstLineChars="20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本单位对上述声明的真实性负责。如有虚假，将依法承担相应责任。</w:t>
      </w:r>
    </w:p>
    <w:p w14:paraId="394011D2">
      <w:pPr>
        <w:shd w:val="clear"/>
        <w:spacing w:line="360" w:lineRule="auto"/>
        <w:ind w:firstLine="504" w:firstLineChars="200"/>
        <w:rPr>
          <w:rFonts w:hint="eastAsia" w:ascii="仿宋" w:hAnsi="仿宋" w:eastAsia="仿宋" w:cs="仿宋"/>
          <w:color w:val="auto"/>
          <w:spacing w:val="6"/>
          <w:sz w:val="24"/>
          <w:szCs w:val="24"/>
          <w:highlight w:val="none"/>
        </w:rPr>
      </w:pPr>
    </w:p>
    <w:p w14:paraId="44D8A3CB">
      <w:pPr>
        <w:shd w:val="clear"/>
        <w:tabs>
          <w:tab w:val="left" w:pos="4860"/>
        </w:tabs>
        <w:spacing w:line="360" w:lineRule="auto"/>
        <w:ind w:right="1560" w:firstLine="4838" w:firstLineChars="192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单位名称（盖章）：</w:t>
      </w:r>
    </w:p>
    <w:p w14:paraId="7128BE4A">
      <w:pPr>
        <w:shd w:val="clear"/>
        <w:tabs>
          <w:tab w:val="left" w:pos="4860"/>
        </w:tabs>
        <w:spacing w:line="360" w:lineRule="auto"/>
        <w:ind w:right="1560" w:firstLine="4838" w:firstLineChars="1920"/>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日  期：</w:t>
      </w:r>
    </w:p>
    <w:p w14:paraId="17993F70">
      <w:pPr>
        <w:shd w:val="clear"/>
        <w:spacing w:line="360" w:lineRule="auto"/>
        <w:rPr>
          <w:rFonts w:hint="eastAsia" w:ascii="仿宋" w:hAnsi="仿宋" w:eastAsia="仿宋" w:cs="仿宋"/>
          <w:b/>
          <w:color w:val="auto"/>
          <w:highlight w:val="none"/>
        </w:rPr>
      </w:pPr>
    </w:p>
    <w:p w14:paraId="137B2C44">
      <w:pPr>
        <w:shd w:val="clear"/>
        <w:spacing w:line="360" w:lineRule="auto"/>
        <w:rPr>
          <w:rFonts w:hint="eastAsia" w:ascii="仿宋" w:hAnsi="仿宋" w:eastAsia="仿宋" w:cs="仿宋"/>
          <w:b/>
          <w:color w:val="auto"/>
          <w:highlight w:val="none"/>
        </w:rPr>
      </w:pPr>
    </w:p>
    <w:p w14:paraId="2A67F535">
      <w:pPr>
        <w:shd w:val="clear"/>
        <w:spacing w:line="360" w:lineRule="auto"/>
        <w:jc w:val="left"/>
        <w:rPr>
          <w:rFonts w:hint="eastAsia" w:ascii="仿宋" w:hAnsi="仿宋" w:eastAsia="仿宋" w:cs="仿宋"/>
          <w:b w:val="0"/>
          <w:bCs/>
          <w:color w:val="auto"/>
          <w:sz w:val="24"/>
          <w:szCs w:val="32"/>
          <w:highlight w:val="none"/>
        </w:rPr>
      </w:pPr>
      <w:r>
        <w:rPr>
          <w:rFonts w:hint="eastAsia" w:ascii="仿宋" w:hAnsi="仿宋" w:eastAsia="仿宋" w:cs="仿宋"/>
          <w:b w:val="0"/>
          <w:bCs/>
          <w:color w:val="auto"/>
          <w:sz w:val="24"/>
          <w:szCs w:val="32"/>
          <w:highlight w:val="none"/>
        </w:rPr>
        <w:t>注：</w:t>
      </w:r>
      <w:r>
        <w:rPr>
          <w:rFonts w:hint="eastAsia" w:ascii="仿宋" w:hAnsi="仿宋" w:eastAsia="仿宋" w:cs="仿宋"/>
          <w:b w:val="0"/>
          <w:bCs/>
          <w:color w:val="auto"/>
          <w:sz w:val="24"/>
          <w:szCs w:val="32"/>
          <w:highlight w:val="none"/>
          <w:lang w:val="en-US" w:eastAsia="zh-CN"/>
        </w:rPr>
        <w:t>中标</w:t>
      </w:r>
      <w:r>
        <w:rPr>
          <w:rFonts w:hint="eastAsia" w:ascii="仿宋" w:hAnsi="仿宋" w:eastAsia="仿宋" w:cs="仿宋"/>
          <w:b w:val="0"/>
          <w:bCs/>
          <w:color w:val="auto"/>
          <w:sz w:val="24"/>
          <w:szCs w:val="32"/>
          <w:highlight w:val="none"/>
        </w:rPr>
        <w:t>供应商为残疾人福利性单位的，代理机构随</w:t>
      </w:r>
      <w:r>
        <w:rPr>
          <w:rFonts w:hint="eastAsia" w:ascii="仿宋" w:hAnsi="仿宋" w:eastAsia="仿宋" w:cs="仿宋"/>
          <w:b w:val="0"/>
          <w:bCs/>
          <w:color w:val="auto"/>
          <w:sz w:val="24"/>
          <w:szCs w:val="32"/>
          <w:highlight w:val="none"/>
          <w:lang w:val="en-US" w:eastAsia="zh-CN"/>
        </w:rPr>
        <w:t>中标/</w:t>
      </w:r>
      <w:r>
        <w:rPr>
          <w:rFonts w:hint="eastAsia" w:ascii="仿宋" w:hAnsi="仿宋" w:eastAsia="仿宋" w:cs="仿宋"/>
          <w:b w:val="0"/>
          <w:bCs/>
          <w:color w:val="auto"/>
          <w:sz w:val="24"/>
          <w:szCs w:val="32"/>
          <w:highlight w:val="none"/>
        </w:rPr>
        <w:t>成交结果同时公告其《残疾人福利性单位声明函》</w:t>
      </w:r>
    </w:p>
    <w:p w14:paraId="6DD1BEE0">
      <w:pPr>
        <w:shd w:val="clear"/>
        <w:rPr>
          <w:rFonts w:hint="eastAsia" w:ascii="仿宋" w:hAnsi="仿宋" w:eastAsia="仿宋" w:cs="仿宋"/>
          <w:b/>
          <w:color w:val="auto"/>
          <w:highlight w:val="none"/>
        </w:rPr>
      </w:pPr>
      <w:r>
        <w:rPr>
          <w:rFonts w:hint="eastAsia" w:ascii="仿宋" w:hAnsi="仿宋" w:eastAsia="仿宋" w:cs="仿宋"/>
          <w:b/>
          <w:color w:val="auto"/>
          <w:highlight w:val="none"/>
        </w:rPr>
        <w:br w:type="page"/>
      </w:r>
    </w:p>
    <w:p w14:paraId="0B644E69">
      <w:pPr>
        <w:shd w:val="clear"/>
        <w:spacing w:line="360" w:lineRule="auto"/>
        <w:jc w:val="both"/>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lang w:eastAsia="zh-CN"/>
        </w:rPr>
        <w:t>）</w:t>
      </w:r>
      <w:r>
        <w:rPr>
          <w:rFonts w:hint="eastAsia" w:ascii="仿宋" w:hAnsi="仿宋" w:eastAsia="仿宋" w:cs="仿宋"/>
          <w:b/>
          <w:bCs w:val="0"/>
          <w:color w:val="auto"/>
          <w:kern w:val="0"/>
          <w:sz w:val="24"/>
          <w:szCs w:val="24"/>
          <w:highlight w:val="none"/>
          <w:lang w:val="en-US" w:eastAsia="zh-CN" w:bidi="ar-SA"/>
        </w:rPr>
        <w:t>监狱企业相关证明材料</w:t>
      </w:r>
      <w:r>
        <w:rPr>
          <w:rFonts w:hint="eastAsia" w:ascii="仿宋" w:hAnsi="仿宋" w:eastAsia="仿宋" w:cs="仿宋"/>
          <w:b/>
          <w:color w:val="auto"/>
          <w:kern w:val="0"/>
          <w:sz w:val="24"/>
          <w:szCs w:val="24"/>
          <w:highlight w:val="none"/>
          <w:lang w:val="en-US" w:eastAsia="zh-CN" w:bidi="ar-SA"/>
        </w:rPr>
        <w:t>（如不涉及，可不提供）</w:t>
      </w:r>
    </w:p>
    <w:p w14:paraId="14A232AE">
      <w:pPr>
        <w:shd w:val="clear"/>
        <w:spacing w:line="360" w:lineRule="auto"/>
        <w:jc w:val="center"/>
        <w:rPr>
          <w:rFonts w:hint="eastAsia" w:ascii="仿宋" w:hAnsi="仿宋" w:eastAsia="仿宋" w:cs="仿宋"/>
          <w:b/>
          <w:bCs/>
          <w:color w:val="auto"/>
          <w:sz w:val="24"/>
          <w:highlight w:val="none"/>
        </w:rPr>
      </w:pPr>
    </w:p>
    <w:p w14:paraId="6AD92717">
      <w:pPr>
        <w:shd w:val="clear"/>
        <w:spacing w:line="360" w:lineRule="auto"/>
        <w:jc w:val="center"/>
        <w:rPr>
          <w:rFonts w:hint="eastAsia" w:ascii="仿宋" w:hAnsi="仿宋" w:eastAsia="仿宋" w:cs="仿宋"/>
          <w:b w:val="0"/>
          <w:bCs/>
          <w:color w:val="auto"/>
          <w:sz w:val="24"/>
          <w:highlight w:val="none"/>
        </w:rPr>
      </w:pPr>
      <w:r>
        <w:rPr>
          <w:rFonts w:hint="eastAsia" w:ascii="仿宋" w:hAnsi="仿宋" w:eastAsia="仿宋" w:cs="仿宋"/>
          <w:b w:val="0"/>
          <w:bCs/>
          <w:color w:val="auto"/>
          <w:sz w:val="24"/>
          <w:szCs w:val="24"/>
          <w:highlight w:val="none"/>
        </w:rPr>
        <w:t>属于监狱企业的证明文件</w:t>
      </w:r>
    </w:p>
    <w:p w14:paraId="3851A0AA">
      <w:pPr>
        <w:shd w:val="clear"/>
        <w:spacing w:line="588" w:lineRule="exact"/>
        <w:rPr>
          <w:rFonts w:hint="eastAsia" w:ascii="仿宋" w:hAnsi="仿宋" w:eastAsia="仿宋" w:cs="仿宋"/>
          <w:b w:val="0"/>
          <w:bCs/>
          <w:color w:val="auto"/>
          <w:sz w:val="24"/>
          <w:szCs w:val="24"/>
          <w:highlight w:val="none"/>
          <w:u w:val="none"/>
        </w:rPr>
      </w:pPr>
    </w:p>
    <w:p w14:paraId="792A7C3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val="0"/>
          <w:bCs/>
          <w:color w:val="auto"/>
          <w:sz w:val="24"/>
          <w:szCs w:val="24"/>
          <w:highlight w:val="none"/>
          <w:u w:val="none"/>
          <w:lang w:val="en-US" w:eastAsia="zh-CN"/>
        </w:rPr>
        <w:t>注：监狱企业投标时，提供由省级以上监狱管理局、戒毒管理局（含新疆生产建设兵团）出具的属于监狱企业的证明文件。</w:t>
      </w:r>
    </w:p>
    <w:p w14:paraId="056F932E">
      <w:pPr>
        <w:rPr>
          <w:rFonts w:hint="eastAsia" w:ascii="仿宋" w:hAnsi="仿宋" w:eastAsia="仿宋" w:cs="仿宋"/>
          <w:b/>
          <w:color w:val="auto"/>
          <w:kern w:val="0"/>
          <w:highlight w:val="none"/>
        </w:rPr>
      </w:pPr>
      <w:r>
        <w:rPr>
          <w:rFonts w:hint="eastAsia" w:ascii="仿宋" w:hAnsi="仿宋" w:eastAsia="仿宋" w:cs="仿宋"/>
          <w:b/>
          <w:color w:val="auto"/>
          <w:kern w:val="0"/>
          <w:highlight w:val="none"/>
        </w:rPr>
        <w:br w:type="page"/>
      </w:r>
    </w:p>
    <w:p w14:paraId="4A3D26C4">
      <w:pPr>
        <w:widowControl/>
        <w:numPr>
          <w:ilvl w:val="0"/>
          <w:numId w:val="1"/>
        </w:numPr>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所响应信息安全产品属于《信息安全产品强制性认证目录》中的产品（如适用），附有效认证证书扫描件或影印件。</w:t>
      </w:r>
    </w:p>
    <w:p w14:paraId="340FB70F">
      <w:pP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highlight w:val="none"/>
        </w:rPr>
        <w:br w:type="page"/>
      </w:r>
    </w:p>
    <w:p w14:paraId="4C2E4EBD">
      <w:pPr>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val="en-US" w:eastAsia="zh-CN"/>
        </w:rPr>
        <w:t>九</w:t>
      </w: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val="en-US" w:eastAsia="zh-CN"/>
        </w:rPr>
        <w:t>投标人</w:t>
      </w:r>
      <w:r>
        <w:rPr>
          <w:rFonts w:hint="eastAsia" w:ascii="仿宋" w:hAnsi="仿宋" w:eastAsia="仿宋" w:cs="仿宋"/>
          <w:b/>
          <w:sz w:val="24"/>
          <w:szCs w:val="24"/>
          <w:highlight w:val="none"/>
        </w:rPr>
        <w:t>提供创新产品或创新服务属于《山西省创新产品和服务推荐清单》中创新产品或创新服务（如适用）（需提供证明材料）。</w:t>
      </w:r>
    </w:p>
    <w:p w14:paraId="646BC3AC">
      <w:pPr>
        <w:spacing w:line="360" w:lineRule="auto"/>
        <w:rPr>
          <w:rFonts w:hint="eastAsia" w:ascii="仿宋" w:hAnsi="仿宋" w:eastAsia="仿宋" w:cs="仿宋"/>
          <w:b/>
          <w:sz w:val="24"/>
          <w:szCs w:val="24"/>
          <w:highlight w:val="none"/>
        </w:rPr>
      </w:pPr>
    </w:p>
    <w:p w14:paraId="1F7C6D1A">
      <w:pPr>
        <w:pBdr>
          <w:top w:val="none" w:color="auto" w:sz="0" w:space="1"/>
          <w:left w:val="none" w:color="auto" w:sz="0" w:space="4"/>
          <w:bottom w:val="none" w:color="auto" w:sz="0" w:space="1"/>
          <w:right w:val="none" w:color="auto" w:sz="0" w:space="4"/>
        </w:pBdr>
        <w:spacing w:beforeLines="100" w:afterLines="100" w:line="560" w:lineRule="exact"/>
        <w:ind w:left="642" w:hanging="642" w:hangingChars="200"/>
        <w:jc w:val="center"/>
        <w:rPr>
          <w:rFonts w:hint="eastAsia" w:ascii="仿宋" w:hAnsi="仿宋" w:eastAsia="仿宋" w:cs="仿宋"/>
          <w:b/>
          <w:bCs/>
          <w:color w:val="auto"/>
          <w:spacing w:val="20"/>
          <w:sz w:val="28"/>
          <w:szCs w:val="30"/>
          <w:highlight w:val="none"/>
        </w:rPr>
      </w:pPr>
      <w:r>
        <w:rPr>
          <w:rFonts w:hint="eastAsia" w:ascii="仿宋" w:hAnsi="仿宋" w:eastAsia="仿宋" w:cs="仿宋"/>
          <w:b/>
          <w:bCs/>
          <w:color w:val="auto"/>
          <w:spacing w:val="20"/>
          <w:sz w:val="28"/>
          <w:szCs w:val="30"/>
          <w:highlight w:val="none"/>
        </w:rPr>
        <w:t>创新产品明细表</w:t>
      </w:r>
    </w:p>
    <w:p w14:paraId="65A1879C">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货币：人民币/元</w:t>
      </w:r>
    </w:p>
    <w:tbl>
      <w:tblPr>
        <w:tblStyle w:val="20"/>
        <w:tblW w:w="8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78"/>
        <w:gridCol w:w="992"/>
        <w:gridCol w:w="1316"/>
        <w:gridCol w:w="1555"/>
        <w:gridCol w:w="854"/>
        <w:gridCol w:w="851"/>
        <w:gridCol w:w="1306"/>
      </w:tblGrid>
      <w:tr w14:paraId="0607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737" w:type="dxa"/>
            <w:vAlign w:val="center"/>
          </w:tcPr>
          <w:p w14:paraId="6FB98822">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1378" w:type="dxa"/>
            <w:vAlign w:val="center"/>
          </w:tcPr>
          <w:p w14:paraId="72499265">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名称</w:t>
            </w:r>
          </w:p>
        </w:tc>
        <w:tc>
          <w:tcPr>
            <w:tcW w:w="992" w:type="dxa"/>
            <w:vAlign w:val="center"/>
          </w:tcPr>
          <w:p w14:paraId="05F62900">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品牌</w:t>
            </w:r>
          </w:p>
        </w:tc>
        <w:tc>
          <w:tcPr>
            <w:tcW w:w="1316" w:type="dxa"/>
            <w:tcBorders>
              <w:bottom w:val="single" w:color="auto" w:sz="4" w:space="0"/>
            </w:tcBorders>
            <w:vAlign w:val="center"/>
          </w:tcPr>
          <w:p w14:paraId="773A77A6">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规格型号</w:t>
            </w:r>
          </w:p>
        </w:tc>
        <w:tc>
          <w:tcPr>
            <w:tcW w:w="1555" w:type="dxa"/>
            <w:tcBorders>
              <w:bottom w:val="single" w:color="auto" w:sz="4" w:space="0"/>
            </w:tcBorders>
            <w:vAlign w:val="center"/>
          </w:tcPr>
          <w:p w14:paraId="28C0733D">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产地及厂家</w:t>
            </w:r>
          </w:p>
        </w:tc>
        <w:tc>
          <w:tcPr>
            <w:tcW w:w="854" w:type="dxa"/>
            <w:tcBorders>
              <w:bottom w:val="single" w:color="auto" w:sz="4" w:space="0"/>
            </w:tcBorders>
            <w:vAlign w:val="center"/>
          </w:tcPr>
          <w:p w14:paraId="2A470114">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数量</w:t>
            </w:r>
          </w:p>
        </w:tc>
        <w:tc>
          <w:tcPr>
            <w:tcW w:w="851" w:type="dxa"/>
            <w:tcBorders>
              <w:bottom w:val="single" w:color="auto" w:sz="4" w:space="0"/>
            </w:tcBorders>
            <w:vAlign w:val="center"/>
          </w:tcPr>
          <w:p w14:paraId="1D4D7538">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单价</w:t>
            </w:r>
          </w:p>
        </w:tc>
        <w:tc>
          <w:tcPr>
            <w:tcW w:w="1306" w:type="dxa"/>
            <w:tcBorders>
              <w:bottom w:val="single" w:color="auto" w:sz="4" w:space="0"/>
            </w:tcBorders>
            <w:vAlign w:val="center"/>
          </w:tcPr>
          <w:p w14:paraId="6333E51F">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总价</w:t>
            </w:r>
          </w:p>
        </w:tc>
      </w:tr>
      <w:tr w14:paraId="7CF4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737" w:type="dxa"/>
            <w:vAlign w:val="center"/>
          </w:tcPr>
          <w:p w14:paraId="5E15174C">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1378" w:type="dxa"/>
            <w:vAlign w:val="center"/>
          </w:tcPr>
          <w:p w14:paraId="5F3B4CDA">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992" w:type="dxa"/>
            <w:vAlign w:val="center"/>
          </w:tcPr>
          <w:p w14:paraId="12E89498">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1316" w:type="dxa"/>
            <w:tcBorders>
              <w:top w:val="single" w:color="auto" w:sz="4" w:space="0"/>
              <w:bottom w:val="single" w:color="auto" w:sz="4" w:space="0"/>
            </w:tcBorders>
            <w:vAlign w:val="center"/>
          </w:tcPr>
          <w:p w14:paraId="78C8C04C">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vertAlign w:val="superscript"/>
              </w:rPr>
            </w:pPr>
          </w:p>
        </w:tc>
        <w:tc>
          <w:tcPr>
            <w:tcW w:w="1555" w:type="dxa"/>
            <w:tcBorders>
              <w:top w:val="single" w:color="auto" w:sz="4" w:space="0"/>
              <w:bottom w:val="single" w:color="auto" w:sz="4" w:space="0"/>
            </w:tcBorders>
            <w:vAlign w:val="center"/>
          </w:tcPr>
          <w:p w14:paraId="2E3995EE">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vertAlign w:val="superscript"/>
              </w:rPr>
            </w:pPr>
          </w:p>
        </w:tc>
        <w:tc>
          <w:tcPr>
            <w:tcW w:w="854" w:type="dxa"/>
            <w:tcBorders>
              <w:top w:val="single" w:color="auto" w:sz="4" w:space="0"/>
            </w:tcBorders>
            <w:vAlign w:val="center"/>
          </w:tcPr>
          <w:p w14:paraId="1166E235">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851" w:type="dxa"/>
            <w:tcBorders>
              <w:top w:val="single" w:color="auto" w:sz="4" w:space="0"/>
            </w:tcBorders>
            <w:vAlign w:val="center"/>
          </w:tcPr>
          <w:p w14:paraId="11532CDA">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1306" w:type="dxa"/>
            <w:tcBorders>
              <w:top w:val="single" w:color="auto" w:sz="4" w:space="0"/>
            </w:tcBorders>
            <w:vAlign w:val="center"/>
          </w:tcPr>
          <w:p w14:paraId="21244418">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r>
      <w:tr w14:paraId="1E92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737" w:type="dxa"/>
            <w:vAlign w:val="center"/>
          </w:tcPr>
          <w:p w14:paraId="3A2E2C8F">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1378" w:type="dxa"/>
            <w:vAlign w:val="center"/>
          </w:tcPr>
          <w:p w14:paraId="1BE95720">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992" w:type="dxa"/>
            <w:vAlign w:val="center"/>
          </w:tcPr>
          <w:p w14:paraId="2ECAB4A6">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1316" w:type="dxa"/>
            <w:tcBorders>
              <w:top w:val="single" w:color="auto" w:sz="4" w:space="0"/>
              <w:bottom w:val="single" w:color="auto" w:sz="4" w:space="0"/>
            </w:tcBorders>
            <w:vAlign w:val="center"/>
          </w:tcPr>
          <w:p w14:paraId="574314F5">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vertAlign w:val="superscript"/>
              </w:rPr>
            </w:pPr>
          </w:p>
        </w:tc>
        <w:tc>
          <w:tcPr>
            <w:tcW w:w="1555" w:type="dxa"/>
            <w:tcBorders>
              <w:top w:val="single" w:color="auto" w:sz="4" w:space="0"/>
              <w:bottom w:val="single" w:color="auto" w:sz="4" w:space="0"/>
            </w:tcBorders>
            <w:vAlign w:val="center"/>
          </w:tcPr>
          <w:p w14:paraId="36F8CA86">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vertAlign w:val="superscript"/>
              </w:rPr>
            </w:pPr>
          </w:p>
        </w:tc>
        <w:tc>
          <w:tcPr>
            <w:tcW w:w="854" w:type="dxa"/>
            <w:tcBorders>
              <w:top w:val="single" w:color="auto" w:sz="4" w:space="0"/>
            </w:tcBorders>
            <w:vAlign w:val="center"/>
          </w:tcPr>
          <w:p w14:paraId="057C4EC8">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851" w:type="dxa"/>
            <w:tcBorders>
              <w:top w:val="single" w:color="auto" w:sz="4" w:space="0"/>
            </w:tcBorders>
            <w:vAlign w:val="center"/>
          </w:tcPr>
          <w:p w14:paraId="40E860E2">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c>
          <w:tcPr>
            <w:tcW w:w="1306" w:type="dxa"/>
            <w:tcBorders>
              <w:top w:val="single" w:color="auto" w:sz="4" w:space="0"/>
            </w:tcBorders>
            <w:vAlign w:val="center"/>
          </w:tcPr>
          <w:p w14:paraId="5BF0CB61">
            <w:pPr>
              <w:keepNext w:val="0"/>
              <w:keepLines w:val="0"/>
              <w:suppressLineNumbers w:val="0"/>
              <w:spacing w:before="0" w:beforeAutospacing="0" w:after="0" w:afterAutospacing="0" w:line="360" w:lineRule="auto"/>
              <w:ind w:left="0" w:right="0"/>
              <w:jc w:val="center"/>
              <w:rPr>
                <w:rFonts w:hint="eastAsia" w:ascii="宋体" w:hAnsi="宋体" w:eastAsia="宋体" w:cs="宋体"/>
                <w:bCs/>
                <w:sz w:val="24"/>
                <w:szCs w:val="24"/>
                <w:highlight w:val="none"/>
              </w:rPr>
            </w:pPr>
          </w:p>
        </w:tc>
      </w:tr>
      <w:tr w14:paraId="5D98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989" w:type="dxa"/>
            <w:gridSpan w:val="8"/>
            <w:vAlign w:val="center"/>
          </w:tcPr>
          <w:p w14:paraId="61F165E5">
            <w:pPr>
              <w:snapToGrid w:val="0"/>
              <w:spacing w:line="360" w:lineRule="auto"/>
              <w:ind w:left="0" w:leftChars="0" w:firstLine="0" w:firstLineChars="0"/>
              <w:rPr>
                <w:rFonts w:hint="eastAsia" w:ascii="宋体" w:hAnsi="宋体" w:eastAsia="宋体" w:cs="宋体"/>
                <w:bCs/>
                <w:sz w:val="24"/>
                <w:szCs w:val="24"/>
                <w:highlight w:val="none"/>
              </w:rPr>
            </w:pPr>
            <w:r>
              <w:rPr>
                <w:rFonts w:hint="eastAsia" w:ascii="仿宋" w:hAnsi="仿宋" w:eastAsia="仿宋" w:cs="仿宋"/>
                <w:color w:val="000000" w:themeColor="text1"/>
                <w:sz w:val="24"/>
                <w:highlight w:val="none"/>
                <w14:textFill>
                  <w14:solidFill>
                    <w14:schemeClr w14:val="tx1"/>
                  </w14:solidFill>
                </w14:textFill>
              </w:rPr>
              <w:t>创新产品价格合计：</w:t>
            </w:r>
          </w:p>
        </w:tc>
      </w:tr>
    </w:tbl>
    <w:p w14:paraId="5082AD5A">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说明： </w:t>
      </w:r>
    </w:p>
    <w:p w14:paraId="355E8E12">
      <w:pPr>
        <w:numPr>
          <w:ilvl w:val="0"/>
          <w:numId w:val="2"/>
        </w:num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如实填写表格，无相应内容可填的，填写“无”、“未测试”、“没有相应指标”等明确的回答文字，或用“/”来表示。</w:t>
      </w:r>
    </w:p>
    <w:p w14:paraId="0D07F9CA">
      <w:pPr>
        <w:numPr>
          <w:ilvl w:val="0"/>
          <w:numId w:val="2"/>
        </w:num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投报创新产品务的，需填写此表后，并提供《山西省创新产品和服务推荐清单》。</w:t>
      </w:r>
    </w:p>
    <w:p w14:paraId="4ACCEAD0">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DDB614E">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7E05F4E5">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3ED62F4">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r>
        <w:rPr>
          <w:rFonts w:hint="eastAsia" w:ascii="仿宋" w:hAnsi="仿宋" w:eastAsia="仿宋" w:cs="仿宋"/>
          <w:color w:val="000000" w:themeColor="text1"/>
          <w:sz w:val="24"/>
          <w:highlight w:val="none"/>
          <w:lang w:val="en-US" w:eastAsia="zh-CN"/>
          <w14:textFill>
            <w14:solidFill>
              <w14:schemeClr w14:val="tx1"/>
            </w14:solidFill>
          </w14:textFill>
        </w:rPr>
        <w:t>供应商</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盖章</w:t>
      </w:r>
      <w:r>
        <w:rPr>
          <w:rFonts w:hint="eastAsia" w:ascii="仿宋" w:hAnsi="仿宋" w:eastAsia="仿宋" w:cs="仿宋"/>
          <w:color w:val="000000" w:themeColor="text1"/>
          <w:sz w:val="24"/>
          <w:highlight w:val="none"/>
          <w14:textFill>
            <w14:solidFill>
              <w14:schemeClr w14:val="tx1"/>
            </w14:solidFill>
          </w14:textFill>
        </w:rPr>
        <w:t xml:space="preserve">）：      </w:t>
      </w:r>
    </w:p>
    <w:p w14:paraId="1138EF1E">
      <w:pPr>
        <w:snapToGrid w:val="0"/>
        <w:spacing w:line="360" w:lineRule="auto"/>
        <w:ind w:firstLine="480" w:firstLineChars="200"/>
        <w:rPr>
          <w:rFonts w:hint="eastAsia" w:ascii="仿宋" w:hAnsi="仿宋" w:eastAsia="仿宋" w:cs="仿宋"/>
          <w:b/>
          <w:bCs/>
          <w:color w:val="auto"/>
          <w:spacing w:val="20"/>
          <w:sz w:val="28"/>
          <w:szCs w:val="30"/>
          <w:highlight w:val="none"/>
        </w:rPr>
      </w:pPr>
      <w:r>
        <w:rPr>
          <w:rFonts w:hint="eastAsia" w:ascii="仿宋" w:hAnsi="仿宋" w:eastAsia="仿宋" w:cs="仿宋"/>
          <w:color w:val="000000" w:themeColor="text1"/>
          <w:sz w:val="24"/>
          <w:highlight w:val="none"/>
          <w14:textFill>
            <w14:solidFill>
              <w14:schemeClr w14:val="tx1"/>
            </w14:solidFill>
          </w14:textFill>
        </w:rPr>
        <w:t xml:space="preserve">                                            日  期：</w:t>
      </w:r>
      <w:r>
        <w:rPr>
          <w:rFonts w:hint="eastAsia" w:ascii="仿宋" w:hAnsi="仿宋" w:eastAsia="仿宋" w:cs="仿宋"/>
          <w:b/>
          <w:bCs/>
          <w:color w:val="auto"/>
          <w:spacing w:val="20"/>
          <w:sz w:val="28"/>
          <w:szCs w:val="30"/>
          <w:highlight w:val="none"/>
        </w:rPr>
        <w:br w:type="page"/>
      </w:r>
    </w:p>
    <w:p w14:paraId="0909F313">
      <w:pPr>
        <w:pBdr>
          <w:top w:val="none" w:color="auto" w:sz="0" w:space="1"/>
          <w:left w:val="none" w:color="auto" w:sz="0" w:space="4"/>
          <w:bottom w:val="none" w:color="auto" w:sz="0" w:space="1"/>
          <w:right w:val="none" w:color="auto" w:sz="0" w:space="4"/>
        </w:pBdr>
        <w:spacing w:beforeLines="100" w:afterLines="100" w:line="560" w:lineRule="exact"/>
        <w:ind w:left="642" w:hanging="642" w:hangingChars="200"/>
        <w:jc w:val="center"/>
        <w:rPr>
          <w:rFonts w:hint="eastAsia" w:ascii="仿宋" w:hAnsi="仿宋" w:eastAsia="仿宋" w:cs="仿宋"/>
          <w:b/>
          <w:bCs/>
          <w:color w:val="auto"/>
          <w:spacing w:val="20"/>
          <w:sz w:val="28"/>
          <w:szCs w:val="30"/>
          <w:highlight w:val="none"/>
        </w:rPr>
      </w:pPr>
      <w:r>
        <w:rPr>
          <w:rFonts w:hint="eastAsia" w:ascii="仿宋" w:hAnsi="仿宋" w:eastAsia="仿宋" w:cs="仿宋"/>
          <w:b/>
          <w:bCs/>
          <w:color w:val="auto"/>
          <w:spacing w:val="20"/>
          <w:sz w:val="28"/>
          <w:szCs w:val="30"/>
          <w:highlight w:val="none"/>
        </w:rPr>
        <w:t>创新服务明细表</w:t>
      </w:r>
    </w:p>
    <w:p w14:paraId="4C658197">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货币：人民币/元</w:t>
      </w:r>
    </w:p>
    <w:tbl>
      <w:tblPr>
        <w:tblStyle w:val="20"/>
        <w:tblW w:w="8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173"/>
        <w:gridCol w:w="2056"/>
        <w:gridCol w:w="1111"/>
        <w:gridCol w:w="1134"/>
        <w:gridCol w:w="1630"/>
      </w:tblGrid>
      <w:tr w14:paraId="47C7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885" w:type="dxa"/>
            <w:vAlign w:val="center"/>
          </w:tcPr>
          <w:p w14:paraId="7B86C8D0">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2173" w:type="dxa"/>
            <w:vAlign w:val="center"/>
          </w:tcPr>
          <w:p w14:paraId="33089DD2">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服务名称</w:t>
            </w:r>
          </w:p>
        </w:tc>
        <w:tc>
          <w:tcPr>
            <w:tcW w:w="2056" w:type="dxa"/>
            <w:vAlign w:val="center"/>
          </w:tcPr>
          <w:p w14:paraId="16A079A0">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服务内容</w:t>
            </w:r>
          </w:p>
        </w:tc>
        <w:tc>
          <w:tcPr>
            <w:tcW w:w="1111" w:type="dxa"/>
            <w:tcBorders>
              <w:bottom w:val="single" w:color="auto" w:sz="4" w:space="0"/>
            </w:tcBorders>
            <w:vAlign w:val="center"/>
          </w:tcPr>
          <w:p w14:paraId="1871BCC4">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数量</w:t>
            </w:r>
          </w:p>
        </w:tc>
        <w:tc>
          <w:tcPr>
            <w:tcW w:w="1134" w:type="dxa"/>
            <w:tcBorders>
              <w:bottom w:val="single" w:color="auto" w:sz="4" w:space="0"/>
            </w:tcBorders>
            <w:vAlign w:val="center"/>
          </w:tcPr>
          <w:p w14:paraId="26C101EC">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单价</w:t>
            </w:r>
          </w:p>
        </w:tc>
        <w:tc>
          <w:tcPr>
            <w:tcW w:w="1630" w:type="dxa"/>
            <w:tcBorders>
              <w:bottom w:val="single" w:color="auto" w:sz="4" w:space="0"/>
            </w:tcBorders>
            <w:vAlign w:val="center"/>
          </w:tcPr>
          <w:p w14:paraId="68001096">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总价</w:t>
            </w:r>
          </w:p>
        </w:tc>
      </w:tr>
      <w:tr w14:paraId="706B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85" w:type="dxa"/>
            <w:vAlign w:val="center"/>
          </w:tcPr>
          <w:p w14:paraId="646F106D">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2173" w:type="dxa"/>
            <w:vAlign w:val="center"/>
          </w:tcPr>
          <w:p w14:paraId="5C574503">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2056" w:type="dxa"/>
            <w:vAlign w:val="center"/>
          </w:tcPr>
          <w:p w14:paraId="5C2AF286">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1111" w:type="dxa"/>
            <w:tcBorders>
              <w:top w:val="single" w:color="auto" w:sz="4" w:space="0"/>
            </w:tcBorders>
            <w:vAlign w:val="center"/>
          </w:tcPr>
          <w:p w14:paraId="3DF6EC53">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1134" w:type="dxa"/>
            <w:tcBorders>
              <w:top w:val="single" w:color="auto" w:sz="4" w:space="0"/>
            </w:tcBorders>
            <w:vAlign w:val="center"/>
          </w:tcPr>
          <w:p w14:paraId="1E409C16">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1630" w:type="dxa"/>
            <w:tcBorders>
              <w:top w:val="single" w:color="auto" w:sz="4" w:space="0"/>
            </w:tcBorders>
            <w:vAlign w:val="center"/>
          </w:tcPr>
          <w:p w14:paraId="139EEE0F">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r>
      <w:tr w14:paraId="549A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85" w:type="dxa"/>
            <w:vAlign w:val="center"/>
          </w:tcPr>
          <w:p w14:paraId="518C3E03">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2173" w:type="dxa"/>
            <w:vAlign w:val="center"/>
          </w:tcPr>
          <w:p w14:paraId="1F15DF4E">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2056" w:type="dxa"/>
            <w:vAlign w:val="center"/>
          </w:tcPr>
          <w:p w14:paraId="7578704F">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1111" w:type="dxa"/>
            <w:tcBorders>
              <w:top w:val="single" w:color="auto" w:sz="4" w:space="0"/>
            </w:tcBorders>
            <w:vAlign w:val="center"/>
          </w:tcPr>
          <w:p w14:paraId="74307858">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1134" w:type="dxa"/>
            <w:tcBorders>
              <w:top w:val="single" w:color="auto" w:sz="4" w:space="0"/>
            </w:tcBorders>
            <w:vAlign w:val="center"/>
          </w:tcPr>
          <w:p w14:paraId="7772E2B4">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c>
          <w:tcPr>
            <w:tcW w:w="1630" w:type="dxa"/>
            <w:tcBorders>
              <w:top w:val="single" w:color="auto" w:sz="4" w:space="0"/>
            </w:tcBorders>
            <w:vAlign w:val="center"/>
          </w:tcPr>
          <w:p w14:paraId="4D2688D0">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tc>
      </w:tr>
      <w:tr w14:paraId="40D6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989" w:type="dxa"/>
            <w:gridSpan w:val="6"/>
            <w:vAlign w:val="center"/>
          </w:tcPr>
          <w:p w14:paraId="06AB65AB">
            <w:pPr>
              <w:snapToGrid w:val="0"/>
              <w:spacing w:line="360" w:lineRule="auto"/>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创新服务价格合计：</w:t>
            </w:r>
          </w:p>
        </w:tc>
      </w:tr>
    </w:tbl>
    <w:p w14:paraId="44396BD8">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说明： </w:t>
      </w:r>
    </w:p>
    <w:p w14:paraId="3C01E235">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如实填写表格，无相应内容可填的，填写“无”、“未测试”、“没有相应指标”等明确的回答文字，或用“/”来表示。</w:t>
      </w:r>
    </w:p>
    <w:p w14:paraId="36E116EF">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提供的服务为创新服务，需填写此表后，提供《山西省创新产品和服务推荐清单》。</w:t>
      </w:r>
    </w:p>
    <w:p w14:paraId="63E38314">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6F47C6A9">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4D2F5680">
      <w:pPr>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r>
        <w:rPr>
          <w:rFonts w:hint="eastAsia" w:ascii="仿宋" w:hAnsi="仿宋" w:eastAsia="仿宋" w:cs="仿宋"/>
          <w:color w:val="000000" w:themeColor="text1"/>
          <w:sz w:val="24"/>
          <w:highlight w:val="none"/>
          <w:lang w:eastAsia="zh-CN"/>
          <w14:textFill>
            <w14:solidFill>
              <w14:schemeClr w14:val="tx1"/>
            </w14:solidFill>
          </w14:textFill>
        </w:rPr>
        <w:t>供应商</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盖章</w:t>
      </w:r>
      <w:r>
        <w:rPr>
          <w:rFonts w:hint="eastAsia" w:ascii="仿宋" w:hAnsi="仿宋" w:eastAsia="仿宋" w:cs="仿宋"/>
          <w:color w:val="000000" w:themeColor="text1"/>
          <w:sz w:val="24"/>
          <w:highlight w:val="none"/>
          <w14:textFill>
            <w14:solidFill>
              <w14:schemeClr w14:val="tx1"/>
            </w14:solidFill>
          </w14:textFill>
        </w:rPr>
        <w:t xml:space="preserve">）：      </w:t>
      </w:r>
    </w:p>
    <w:p w14:paraId="2E3177A6">
      <w:pPr>
        <w:widowControl/>
        <w:numPr>
          <w:ilvl w:val="0"/>
          <w:numId w:val="0"/>
        </w:numPr>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  期：</w:t>
      </w:r>
    </w:p>
    <w:p w14:paraId="42C0FE09">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br w:type="page"/>
      </w:r>
    </w:p>
    <w:p w14:paraId="0D651131">
      <w:pPr>
        <w:pageBreakBefore w:val="0"/>
        <w:widowControl/>
        <w:kinsoku/>
        <w:autoSpaceDE/>
        <w:bidi w:val="0"/>
        <w:snapToGrid w:val="0"/>
        <w:spacing w:line="480" w:lineRule="exact"/>
        <w:jc w:val="left"/>
        <w:rPr>
          <w:rFonts w:hint="eastAsia" w:ascii="仿宋" w:hAnsi="仿宋" w:eastAsia="仿宋" w:cs="仿宋"/>
          <w:b/>
          <w:color w:val="000000"/>
          <w:kern w:val="0"/>
          <w:sz w:val="24"/>
          <w:highlight w:val="none"/>
          <w:lang w:val="en-US" w:eastAsia="zh-CN"/>
        </w:rPr>
      </w:pPr>
      <w:r>
        <w:rPr>
          <w:rFonts w:hint="eastAsia" w:ascii="仿宋" w:hAnsi="仿宋" w:eastAsia="仿宋" w:cs="仿宋"/>
          <w:b/>
          <w:color w:val="000000"/>
          <w:kern w:val="0"/>
          <w:sz w:val="24"/>
          <w:highlight w:val="none"/>
          <w:lang w:val="en-US" w:eastAsia="zh-CN"/>
        </w:rPr>
        <w:t>（十）绿色建材承诺函格式</w:t>
      </w:r>
      <w:r>
        <w:rPr>
          <w:rFonts w:hint="eastAsia" w:ascii="仿宋" w:hAnsi="仿宋" w:eastAsia="仿宋" w:cs="仿宋"/>
          <w:b/>
          <w:color w:val="000000"/>
          <w:kern w:val="0"/>
          <w:sz w:val="24"/>
          <w:highlight w:val="none"/>
        </w:rPr>
        <w:t>（如不涉及，可不提供）</w:t>
      </w:r>
    </w:p>
    <w:p w14:paraId="41B2DD92">
      <w:pPr>
        <w:bidi w:val="0"/>
        <w:rPr>
          <w:rFonts w:hint="eastAsia"/>
          <w:highlight w:val="none"/>
        </w:rPr>
      </w:pPr>
    </w:p>
    <w:p w14:paraId="75DFEBFD">
      <w:pPr>
        <w:bidi w:val="0"/>
        <w:jc w:val="center"/>
        <w:rPr>
          <w:rFonts w:hint="eastAsia" w:ascii="仿宋" w:hAnsi="仿宋" w:eastAsia="仿宋" w:cs="仿宋"/>
          <w:b/>
          <w:color w:val="000000"/>
          <w:kern w:val="0"/>
          <w:sz w:val="24"/>
          <w:highlight w:val="none"/>
          <w:lang w:val="en-US" w:eastAsia="zh-CN"/>
        </w:rPr>
      </w:pPr>
      <w:r>
        <w:rPr>
          <w:rFonts w:hint="eastAsia" w:ascii="仿宋" w:hAnsi="仿宋" w:eastAsia="仿宋" w:cs="仿宋"/>
          <w:b/>
          <w:color w:val="000000"/>
          <w:kern w:val="0"/>
          <w:sz w:val="24"/>
          <w:highlight w:val="none"/>
          <w:lang w:val="en-US" w:eastAsia="zh-CN"/>
        </w:rPr>
        <w:t>绿色建材承诺函</w:t>
      </w:r>
    </w:p>
    <w:p w14:paraId="5E48F910">
      <w:pPr>
        <w:bidi w:val="0"/>
        <w:rPr>
          <w:rFonts w:hint="eastAsia" w:ascii="仿宋" w:hAnsi="仿宋" w:eastAsia="仿宋" w:cs="仿宋"/>
          <w:b/>
          <w:color w:val="000000"/>
          <w:kern w:val="0"/>
          <w:sz w:val="24"/>
          <w:highlight w:val="none"/>
          <w:lang w:val="en-US" w:eastAsia="zh-CN"/>
        </w:rPr>
      </w:pPr>
    </w:p>
    <w:p w14:paraId="784FDA48">
      <w:pPr>
        <w:pStyle w:val="5"/>
        <w:spacing w:line="360" w:lineRule="auto"/>
        <w:ind w:firstLine="0"/>
        <w:jc w:val="both"/>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致：</w:t>
      </w:r>
      <w:r>
        <w:rPr>
          <w:rFonts w:hint="eastAsia" w:ascii="仿宋" w:hAnsi="仿宋" w:eastAsia="仿宋" w:cs="仿宋"/>
          <w:b/>
          <w:sz w:val="24"/>
          <w:szCs w:val="24"/>
          <w:highlight w:val="none"/>
          <w:u w:val="single"/>
        </w:rPr>
        <w:t xml:space="preserve">                        </w:t>
      </w:r>
      <w:r>
        <w:rPr>
          <w:rFonts w:hint="eastAsia" w:ascii="仿宋" w:hAnsi="仿宋" w:eastAsia="仿宋" w:cs="仿宋"/>
          <w:b/>
          <w:sz w:val="24"/>
          <w:szCs w:val="24"/>
          <w:highlight w:val="none"/>
        </w:rPr>
        <w:t>(</w:t>
      </w:r>
      <w:r>
        <w:rPr>
          <w:rFonts w:hint="eastAsia" w:ascii="仿宋" w:hAnsi="仿宋" w:eastAsia="仿宋" w:cs="仿宋"/>
          <w:b/>
          <w:sz w:val="24"/>
          <w:szCs w:val="24"/>
          <w:highlight w:val="none"/>
          <w:lang w:val="en-US" w:eastAsia="zh-CN"/>
        </w:rPr>
        <w:t>招标</w:t>
      </w:r>
      <w:r>
        <w:rPr>
          <w:rFonts w:hint="eastAsia" w:ascii="仿宋" w:hAnsi="仿宋" w:eastAsia="仿宋" w:cs="仿宋"/>
          <w:b/>
          <w:sz w:val="24"/>
          <w:szCs w:val="24"/>
          <w:highlight w:val="none"/>
        </w:rPr>
        <w:t>人名称)</w:t>
      </w:r>
    </w:p>
    <w:p w14:paraId="64228914">
      <w:pPr>
        <w:spacing w:line="360" w:lineRule="auto"/>
        <w:ind w:firstLine="504" w:firstLineChars="20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我方自愿参与贵方组织的（项目名称）</w:t>
      </w:r>
      <w:r>
        <w:rPr>
          <w:rFonts w:hint="eastAsia" w:ascii="仿宋" w:hAnsi="仿宋" w:eastAsia="仿宋" w:cs="仿宋"/>
          <w:spacing w:val="6"/>
          <w:sz w:val="24"/>
          <w:szCs w:val="24"/>
          <w:highlight w:val="none"/>
          <w:u w:val="single"/>
          <w:lang w:val="en-US" w:eastAsia="zh-CN"/>
        </w:rPr>
        <w:t xml:space="preserve">          </w:t>
      </w:r>
      <w:r>
        <w:rPr>
          <w:rFonts w:hint="eastAsia" w:ascii="仿宋" w:hAnsi="仿宋" w:eastAsia="仿宋" w:cs="仿宋"/>
          <w:spacing w:val="6"/>
          <w:sz w:val="24"/>
          <w:szCs w:val="24"/>
          <w:highlight w:val="none"/>
        </w:rPr>
        <w:t>（项目编号：</w:t>
      </w:r>
      <w:r>
        <w:rPr>
          <w:rFonts w:hint="eastAsia" w:ascii="仿宋" w:hAnsi="仿宋" w:eastAsia="仿宋" w:cs="仿宋"/>
          <w:spacing w:val="6"/>
          <w:sz w:val="24"/>
          <w:szCs w:val="24"/>
          <w:highlight w:val="none"/>
          <w:u w:val="single"/>
        </w:rPr>
        <w:t>______</w:t>
      </w:r>
      <w:r>
        <w:rPr>
          <w:rFonts w:hint="eastAsia" w:ascii="仿宋" w:hAnsi="仿宋" w:eastAsia="仿宋" w:cs="仿宋"/>
          <w:spacing w:val="6"/>
          <w:sz w:val="24"/>
          <w:szCs w:val="24"/>
          <w:highlight w:val="none"/>
        </w:rPr>
        <w:t>）的投标。针对本项目所涉及的绿色建材采购及使用要求，我方已充分阅读并理解《绿色建筑和绿色建材政府采购需求标准（2025年版）》（以下简称《需求标准》）及相关</w:t>
      </w:r>
      <w:r>
        <w:rPr>
          <w:rFonts w:hint="eastAsia" w:ascii="仿宋" w:hAnsi="仿宋" w:eastAsia="仿宋" w:cs="仿宋"/>
          <w:spacing w:val="6"/>
          <w:sz w:val="24"/>
          <w:szCs w:val="24"/>
          <w:highlight w:val="none"/>
          <w:lang w:val="en-US" w:eastAsia="zh-CN"/>
        </w:rPr>
        <w:t>招标</w:t>
      </w:r>
      <w:r>
        <w:rPr>
          <w:rFonts w:hint="eastAsia" w:ascii="仿宋" w:hAnsi="仿宋" w:eastAsia="仿宋" w:cs="仿宋"/>
          <w:spacing w:val="6"/>
          <w:sz w:val="24"/>
          <w:szCs w:val="24"/>
          <w:highlight w:val="none"/>
        </w:rPr>
        <w:t>文件规定，现郑重作出如下承诺：</w:t>
      </w:r>
    </w:p>
    <w:p w14:paraId="458ABBD3">
      <w:pPr>
        <w:spacing w:line="360" w:lineRule="auto"/>
        <w:ind w:firstLine="504" w:firstLineChars="20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一、必选类建材承诺</w:t>
      </w:r>
    </w:p>
    <w:p w14:paraId="07AB7F1B">
      <w:pPr>
        <w:spacing w:line="360" w:lineRule="auto"/>
        <w:ind w:firstLine="504" w:firstLineChars="20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对于本项目《需求标准》中列为“必选类”的建筑材料，我方承诺100%采购和使用符合《需求标准》及相关国家行业标准、环保认证（标识）要求的绿色建材产品。</w:t>
      </w:r>
    </w:p>
    <w:p w14:paraId="2137303A">
      <w:pPr>
        <w:spacing w:line="360" w:lineRule="auto"/>
        <w:ind w:firstLine="504" w:firstLineChars="20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二、可选类建材承诺</w:t>
      </w:r>
    </w:p>
    <w:p w14:paraId="39B49BC3">
      <w:pPr>
        <w:spacing w:line="360" w:lineRule="auto"/>
        <w:ind w:firstLine="504" w:firstLineChars="20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对于本项目《需求标准》中列为“可选类”的建筑材料，我方承诺在满足工程质量和功能需求的前提下，优先选择性价比高的绿色建材产品。我方承诺选用的绿色建材种类占本项目所涉及的全部可选类建材种类的比例不低于40%。</w:t>
      </w:r>
    </w:p>
    <w:p w14:paraId="715B960B">
      <w:pPr>
        <w:spacing w:line="360" w:lineRule="auto"/>
        <w:ind w:firstLine="504" w:firstLineChars="20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我方承诺对采购的绿色建材产品质量负责。若因我方未按上述承诺采购、使用绿色建材，或提供的证明材料虚假、无效，导致项目无法通过绿色建筑验收或相关专项检查的，我方愿意无条件返工整改，并承担由此产生的一切经济损失及法律责任。</w:t>
      </w:r>
    </w:p>
    <w:p w14:paraId="5D3625B1">
      <w:pPr>
        <w:spacing w:line="360" w:lineRule="auto"/>
        <w:ind w:firstLine="504" w:firstLineChars="200"/>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rPr>
        <w:t>本承诺书作为</w:t>
      </w:r>
      <w:r>
        <w:rPr>
          <w:rFonts w:hint="eastAsia" w:ascii="仿宋" w:hAnsi="仿宋" w:eastAsia="仿宋" w:cs="仿宋"/>
          <w:spacing w:val="6"/>
          <w:sz w:val="24"/>
          <w:szCs w:val="24"/>
          <w:highlight w:val="none"/>
          <w:lang w:eastAsia="zh-CN"/>
        </w:rPr>
        <w:t>响应文件</w:t>
      </w:r>
      <w:r>
        <w:rPr>
          <w:rFonts w:hint="eastAsia" w:ascii="仿宋" w:hAnsi="仿宋" w:eastAsia="仿宋" w:cs="仿宋"/>
          <w:spacing w:val="6"/>
          <w:sz w:val="24"/>
          <w:szCs w:val="24"/>
          <w:highlight w:val="none"/>
        </w:rPr>
        <w:t>及未来签订合同不可分割的组成部分，具有同等法律效力。</w:t>
      </w:r>
    </w:p>
    <w:p w14:paraId="40E13956">
      <w:pPr>
        <w:spacing w:line="360" w:lineRule="auto"/>
        <w:ind w:firstLine="504" w:firstLineChars="200"/>
        <w:rPr>
          <w:rFonts w:hint="eastAsia" w:ascii="仿宋" w:hAnsi="仿宋" w:eastAsia="仿宋" w:cs="仿宋"/>
          <w:spacing w:val="6"/>
          <w:sz w:val="24"/>
          <w:szCs w:val="24"/>
          <w:highlight w:val="none"/>
        </w:rPr>
      </w:pPr>
    </w:p>
    <w:p w14:paraId="605A4BB6">
      <w:pPr>
        <w:spacing w:line="360" w:lineRule="auto"/>
        <w:ind w:firstLine="504" w:firstLineChars="200"/>
        <w:rPr>
          <w:rFonts w:hint="eastAsia" w:ascii="仿宋" w:hAnsi="仿宋" w:eastAsia="仿宋" w:cs="仿宋"/>
          <w:spacing w:val="6"/>
          <w:sz w:val="24"/>
          <w:szCs w:val="24"/>
          <w:highlight w:val="none"/>
        </w:rPr>
      </w:pPr>
    </w:p>
    <w:p w14:paraId="046A6810">
      <w:pPr>
        <w:spacing w:line="360" w:lineRule="auto"/>
        <w:ind w:right="0" w:firstLine="504" w:firstLineChars="200"/>
        <w:jc w:val="left"/>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lang w:val="en-US" w:eastAsia="zh-CN"/>
        </w:rPr>
        <w:t xml:space="preserve">                       </w:t>
      </w:r>
      <w:r>
        <w:rPr>
          <w:rFonts w:hint="eastAsia" w:ascii="仿宋" w:hAnsi="仿宋" w:eastAsia="仿宋" w:cs="仿宋"/>
          <w:spacing w:val="6"/>
          <w:sz w:val="24"/>
          <w:szCs w:val="24"/>
          <w:highlight w:val="none"/>
        </w:rPr>
        <w:t>单位名称（盖章）：</w:t>
      </w:r>
    </w:p>
    <w:p w14:paraId="649741AB">
      <w:pPr>
        <w:pageBreakBefore w:val="0"/>
        <w:widowControl/>
        <w:kinsoku/>
        <w:autoSpaceDE/>
        <w:bidi w:val="0"/>
        <w:snapToGrid w:val="0"/>
        <w:spacing w:line="480" w:lineRule="exact"/>
        <w:rPr>
          <w:rFonts w:hint="eastAsia" w:ascii="仿宋" w:hAnsi="仿宋" w:eastAsia="仿宋" w:cs="仿宋"/>
          <w:b/>
          <w:color w:val="000000"/>
          <w:kern w:val="0"/>
          <w:sz w:val="24"/>
          <w:highlight w:val="none"/>
          <w:lang w:val="en-US" w:eastAsia="zh-CN"/>
        </w:rPr>
      </w:pPr>
      <w:r>
        <w:rPr>
          <w:rFonts w:hint="eastAsia" w:ascii="仿宋" w:hAnsi="仿宋" w:eastAsia="仿宋" w:cs="仿宋"/>
          <w:spacing w:val="6"/>
          <w:sz w:val="24"/>
          <w:szCs w:val="24"/>
          <w:highlight w:val="none"/>
        </w:rPr>
        <w:t xml:space="preserve">           </w:t>
      </w:r>
      <w:r>
        <w:rPr>
          <w:rFonts w:hint="eastAsia" w:ascii="仿宋" w:hAnsi="仿宋" w:eastAsia="仿宋" w:cs="仿宋"/>
          <w:spacing w:val="6"/>
          <w:sz w:val="24"/>
          <w:szCs w:val="24"/>
          <w:highlight w:val="none"/>
          <w:lang w:val="en-US" w:eastAsia="zh-CN"/>
        </w:rPr>
        <w:t xml:space="preserve">    </w:t>
      </w:r>
      <w:r>
        <w:rPr>
          <w:rFonts w:hint="eastAsia" w:ascii="仿宋" w:hAnsi="仿宋" w:eastAsia="仿宋" w:cs="仿宋"/>
          <w:spacing w:val="6"/>
          <w:sz w:val="24"/>
          <w:szCs w:val="24"/>
          <w:highlight w:val="none"/>
        </w:rPr>
        <w:t xml:space="preserve">  </w:t>
      </w:r>
      <w:r>
        <w:rPr>
          <w:rFonts w:hint="eastAsia" w:ascii="仿宋" w:hAnsi="仿宋" w:eastAsia="仿宋" w:cs="仿宋"/>
          <w:spacing w:val="6"/>
          <w:sz w:val="24"/>
          <w:szCs w:val="24"/>
          <w:highlight w:val="none"/>
          <w:lang w:val="en-US" w:eastAsia="zh-CN"/>
        </w:rPr>
        <w:t xml:space="preserve">          </w:t>
      </w:r>
      <w:r>
        <w:rPr>
          <w:rFonts w:hint="eastAsia" w:ascii="仿宋" w:hAnsi="仿宋" w:eastAsia="仿宋" w:cs="仿宋"/>
          <w:spacing w:val="6"/>
          <w:sz w:val="24"/>
          <w:szCs w:val="24"/>
          <w:highlight w:val="none"/>
        </w:rPr>
        <w:t>日  期：</w:t>
      </w:r>
      <w:r>
        <w:rPr>
          <w:rFonts w:hint="eastAsia" w:ascii="仿宋" w:hAnsi="仿宋" w:eastAsia="仿宋" w:cs="仿宋"/>
          <w:b/>
          <w:color w:val="auto"/>
          <w:kern w:val="0"/>
          <w:highlight w:val="none"/>
        </w:rPr>
        <w:br w:type="page"/>
      </w:r>
      <w:r>
        <w:rPr>
          <w:rFonts w:hint="eastAsia" w:ascii="仿宋" w:hAnsi="仿宋" w:eastAsia="仿宋" w:cs="仿宋"/>
          <w:b/>
          <w:color w:val="000000"/>
          <w:kern w:val="0"/>
          <w:sz w:val="24"/>
          <w:highlight w:val="none"/>
          <w:lang w:val="en-US" w:eastAsia="zh-CN"/>
        </w:rPr>
        <w:t>（十一）数据中心建设承诺书(如不涉及，可不提供）</w:t>
      </w:r>
    </w:p>
    <w:p w14:paraId="12A36E42">
      <w:pPr>
        <w:pageBreakBefore w:val="0"/>
        <w:kinsoku/>
        <w:autoSpaceDE/>
        <w:bidi w:val="0"/>
        <w:spacing w:line="480" w:lineRule="exact"/>
        <w:jc w:val="center"/>
        <w:rPr>
          <w:rFonts w:hint="default" w:ascii="仿宋" w:hAnsi="仿宋" w:eastAsia="仿宋" w:cs="仿宋"/>
          <w:b/>
          <w:color w:val="000000"/>
          <w:sz w:val="24"/>
          <w:highlight w:val="none"/>
          <w:lang w:val="en-US" w:eastAsia="zh-CN"/>
        </w:rPr>
      </w:pPr>
    </w:p>
    <w:p w14:paraId="364603AA">
      <w:pPr>
        <w:pageBreakBefore w:val="0"/>
        <w:kinsoku/>
        <w:autoSpaceDE/>
        <w:bidi w:val="0"/>
        <w:spacing w:line="480" w:lineRule="exact"/>
        <w:jc w:val="center"/>
        <w:rPr>
          <w:rFonts w:hint="default" w:ascii="仿宋" w:hAnsi="仿宋" w:eastAsia="仿宋" w:cs="仿宋"/>
          <w:b/>
          <w:color w:val="000000"/>
          <w:sz w:val="24"/>
          <w:highlight w:val="none"/>
          <w:lang w:val="en-US" w:eastAsia="zh-CN"/>
        </w:rPr>
      </w:pPr>
      <w:r>
        <w:rPr>
          <w:rFonts w:hint="default" w:ascii="仿宋" w:hAnsi="仿宋" w:eastAsia="仿宋" w:cs="仿宋"/>
          <w:b/>
          <w:color w:val="000000"/>
          <w:sz w:val="24"/>
          <w:highlight w:val="none"/>
          <w:lang w:val="en-US" w:eastAsia="zh-CN"/>
        </w:rPr>
        <w:t>数据中心建设</w:t>
      </w:r>
      <w:r>
        <w:rPr>
          <w:rFonts w:hint="eastAsia" w:ascii="仿宋" w:hAnsi="仿宋" w:eastAsia="仿宋" w:cs="仿宋"/>
          <w:b/>
          <w:color w:val="000000"/>
          <w:sz w:val="24"/>
          <w:highlight w:val="none"/>
          <w:lang w:val="en-US" w:eastAsia="zh-CN"/>
        </w:rPr>
        <w:t>承诺书（格式）</w:t>
      </w:r>
    </w:p>
    <w:p w14:paraId="4A4EEC79">
      <w:pPr>
        <w:spacing w:after="156" w:afterLines="50" w:line="480" w:lineRule="auto"/>
        <w:ind w:firstLine="0" w:firstLineChars="0"/>
        <w:rPr>
          <w:rFonts w:hint="eastAsia" w:ascii="仿宋" w:hAnsi="仿宋" w:eastAsia="仿宋" w:cs="仿宋"/>
          <w:sz w:val="24"/>
          <w:szCs w:val="24"/>
          <w:highlight w:val="none"/>
          <w:u w:val="single"/>
        </w:rPr>
      </w:pPr>
    </w:p>
    <w:p w14:paraId="5510ED61">
      <w:pPr>
        <w:spacing w:after="156" w:afterLines="50" w:line="480" w:lineRule="auto"/>
        <w:ind w:firstLine="0" w:firstLineChars="0"/>
        <w:rPr>
          <w:rFonts w:hint="eastAsia" w:ascii="仿宋" w:hAnsi="仿宋" w:eastAsia="仿宋" w:cs="仿宋"/>
          <w:sz w:val="24"/>
          <w:szCs w:val="24"/>
          <w:highlight w:val="none"/>
        </w:rPr>
      </w:pP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招标</w:t>
      </w:r>
      <w:r>
        <w:rPr>
          <w:rFonts w:hint="eastAsia" w:ascii="仿宋" w:hAnsi="仿宋" w:eastAsia="仿宋" w:cs="仿宋"/>
          <w:sz w:val="24"/>
          <w:szCs w:val="24"/>
          <w:highlight w:val="none"/>
        </w:rPr>
        <w:t>人名称）：</w:t>
      </w:r>
    </w:p>
    <w:p w14:paraId="6327ACEF">
      <w:pPr>
        <w:bidi w:val="0"/>
        <w:spacing w:line="48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我公司现参与</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lang w:val="en-US" w:eastAsia="zh-CN"/>
        </w:rPr>
        <w:t>项目采购活动，承诺所投报的产品符合财库〔2023〕7号《绿色数据中心政府采购需求标准（试行）》的通知要求。</w:t>
      </w:r>
    </w:p>
    <w:p w14:paraId="15827B42">
      <w:pPr>
        <w:bidi w:val="0"/>
        <w:spacing w:line="48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如上述声明不真实，愿意按照政府采购有关法律法规的规定接受处罚。</w:t>
      </w:r>
    </w:p>
    <w:p w14:paraId="1ADE60D5">
      <w:pPr>
        <w:bidi w:val="0"/>
        <w:spacing w:line="48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特此声明！</w:t>
      </w:r>
    </w:p>
    <w:p w14:paraId="63AC3FB5">
      <w:pPr>
        <w:snapToGrid w:val="0"/>
        <w:spacing w:line="520" w:lineRule="exact"/>
        <w:ind w:firstLine="480" w:firstLineChars="200"/>
        <w:rPr>
          <w:rFonts w:hint="eastAsia" w:ascii="仿宋" w:hAnsi="仿宋" w:eastAsia="仿宋" w:cs="仿宋"/>
          <w:sz w:val="24"/>
          <w:szCs w:val="24"/>
          <w:highlight w:val="none"/>
        </w:rPr>
      </w:pPr>
    </w:p>
    <w:p w14:paraId="51419BC2">
      <w:pPr>
        <w:snapToGrid w:val="0"/>
        <w:spacing w:line="480" w:lineRule="exact"/>
        <w:ind w:firstLine="480" w:firstLineChars="200"/>
        <w:rPr>
          <w:rFonts w:hint="eastAsia" w:ascii="仿宋" w:hAnsi="仿宋" w:eastAsia="仿宋" w:cs="仿宋"/>
          <w:sz w:val="24"/>
          <w:szCs w:val="24"/>
          <w:highlight w:val="none"/>
        </w:rPr>
      </w:pPr>
    </w:p>
    <w:p w14:paraId="4E554539">
      <w:pPr>
        <w:spacing w:line="480" w:lineRule="auto"/>
        <w:ind w:left="1470" w:leftChars="700" w:firstLine="480" w:firstLineChars="200"/>
        <w:rPr>
          <w:rFonts w:hint="eastAsia" w:ascii="仿宋" w:hAnsi="仿宋" w:eastAsia="仿宋" w:cs="仿宋"/>
          <w:sz w:val="24"/>
          <w:szCs w:val="24"/>
          <w:highlight w:val="none"/>
          <w:u w:val="single"/>
        </w:rPr>
      </w:pPr>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rPr>
        <w:t>名称(公章)：</w:t>
      </w:r>
      <w:r>
        <w:rPr>
          <w:rFonts w:hint="eastAsia" w:ascii="仿宋" w:hAnsi="仿宋" w:eastAsia="仿宋" w:cs="仿宋"/>
          <w:sz w:val="24"/>
          <w:szCs w:val="24"/>
          <w:highlight w:val="none"/>
          <w:u w:val="single"/>
        </w:rPr>
        <w:t xml:space="preserve">                             </w:t>
      </w:r>
    </w:p>
    <w:p w14:paraId="2CB7D6FD">
      <w:pPr>
        <w:ind w:firstLine="1920" w:firstLineChars="800"/>
        <w:rPr>
          <w:rFonts w:hint="eastAsia" w:ascii="仿宋" w:hAnsi="仿宋" w:eastAsia="仿宋" w:cs="仿宋"/>
          <w:b/>
          <w:color w:val="auto"/>
          <w:kern w:val="0"/>
          <w:highlight w:val="none"/>
        </w:rPr>
      </w:pPr>
      <w:r>
        <w:rPr>
          <w:rFonts w:hint="eastAsia" w:ascii="仿宋" w:hAnsi="仿宋" w:eastAsia="仿宋" w:cs="仿宋"/>
          <w:sz w:val="24"/>
          <w:szCs w:val="24"/>
          <w:highlight w:val="none"/>
        </w:rPr>
        <w:t>日   期：</w:t>
      </w:r>
      <w:r>
        <w:rPr>
          <w:rFonts w:hint="eastAsia" w:ascii="仿宋" w:hAnsi="仿宋" w:eastAsia="仿宋" w:cs="仿宋"/>
          <w:sz w:val="24"/>
          <w:szCs w:val="24"/>
          <w:highlight w:val="none"/>
          <w:u w:val="single"/>
        </w:rPr>
        <w:t xml:space="preserve">               </w:t>
      </w:r>
      <w:r>
        <w:rPr>
          <w:rFonts w:hint="eastAsia" w:ascii="仿宋" w:hAnsi="仿宋" w:eastAsia="仿宋" w:cs="仿宋"/>
          <w:b/>
          <w:color w:val="auto"/>
          <w:kern w:val="0"/>
          <w:highlight w:val="none"/>
        </w:rPr>
        <w:br w:type="page"/>
      </w:r>
    </w:p>
    <w:p w14:paraId="79B75BE4">
      <w:pPr>
        <w:widowControl/>
        <w:numPr>
          <w:ilvl w:val="0"/>
          <w:numId w:val="0"/>
        </w:numPr>
        <w:snapToGrid w:val="0"/>
        <w:spacing w:line="360" w:lineRule="auto"/>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w:t>
      </w:r>
      <w:r>
        <w:rPr>
          <w:rFonts w:hint="eastAsia" w:ascii="仿宋" w:hAnsi="仿宋" w:eastAsia="仿宋" w:cs="仿宋"/>
          <w:b/>
          <w:color w:val="auto"/>
          <w:kern w:val="0"/>
          <w:sz w:val="24"/>
          <w:szCs w:val="24"/>
          <w:highlight w:val="none"/>
          <w:lang w:val="en-US" w:eastAsia="zh-CN"/>
        </w:rPr>
        <w:t>十二</w:t>
      </w:r>
      <w:r>
        <w:rPr>
          <w:rFonts w:hint="eastAsia" w:ascii="仿宋" w:hAnsi="仿宋" w:eastAsia="仿宋" w:cs="仿宋"/>
          <w:b/>
          <w:color w:val="auto"/>
          <w:kern w:val="0"/>
          <w:sz w:val="24"/>
          <w:szCs w:val="24"/>
          <w:highlight w:val="none"/>
        </w:rPr>
        <w:t>）联合体投标资格证明文件（如</w:t>
      </w:r>
      <w:r>
        <w:rPr>
          <w:rFonts w:hint="eastAsia" w:ascii="仿宋" w:hAnsi="仿宋" w:eastAsia="仿宋" w:cs="仿宋"/>
          <w:b/>
          <w:color w:val="auto"/>
          <w:kern w:val="0"/>
          <w:sz w:val="24"/>
          <w:szCs w:val="24"/>
          <w:highlight w:val="none"/>
          <w:lang w:val="en-US" w:eastAsia="zh-CN"/>
        </w:rPr>
        <w:t>不涉及，可不提供</w:t>
      </w:r>
      <w:r>
        <w:rPr>
          <w:rFonts w:hint="eastAsia" w:ascii="仿宋" w:hAnsi="仿宋" w:eastAsia="仿宋" w:cs="仿宋"/>
          <w:b/>
          <w:color w:val="auto"/>
          <w:kern w:val="0"/>
          <w:sz w:val="24"/>
          <w:szCs w:val="24"/>
          <w:highlight w:val="none"/>
        </w:rPr>
        <w:t>）</w:t>
      </w:r>
    </w:p>
    <w:p w14:paraId="3A61FEC9">
      <w:pPr>
        <w:widowControl/>
        <w:snapToGrid w:val="0"/>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（1）资质等级证明文件</w:t>
      </w:r>
    </w:p>
    <w:p w14:paraId="6084B43E">
      <w:pPr>
        <w:widowControl/>
        <w:snapToGrid w:val="0"/>
        <w:spacing w:line="360" w:lineRule="auto"/>
        <w:rPr>
          <w:rFonts w:hint="eastAsia" w:ascii="仿宋" w:hAnsi="仿宋" w:eastAsia="仿宋" w:cs="仿宋"/>
          <w:color w:val="auto"/>
          <w:kern w:val="0"/>
          <w:sz w:val="24"/>
          <w:szCs w:val="24"/>
          <w:highlight w:val="none"/>
        </w:rPr>
      </w:pPr>
    </w:p>
    <w:p w14:paraId="02725EC4">
      <w:pPr>
        <w:widowControl/>
        <w:snapToGrid w:val="0"/>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（2）联合体投标协议格式</w:t>
      </w:r>
    </w:p>
    <w:p w14:paraId="5F9FC88F">
      <w:pPr>
        <w:spacing w:line="3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《联合投标协议书》格式</w:t>
      </w:r>
    </w:p>
    <w:p w14:paraId="71D805C9">
      <w:pPr>
        <w:spacing w:line="300" w:lineRule="exact"/>
        <w:jc w:val="center"/>
        <w:rPr>
          <w:rFonts w:hint="eastAsia" w:ascii="仿宋" w:hAnsi="仿宋" w:eastAsia="仿宋" w:cs="仿宋"/>
          <w:b/>
          <w:color w:val="auto"/>
          <w:sz w:val="24"/>
          <w:szCs w:val="24"/>
          <w:highlight w:val="none"/>
        </w:rPr>
      </w:pPr>
    </w:p>
    <w:p w14:paraId="4236EA8D">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联合投标各方：</w:t>
      </w:r>
    </w:p>
    <w:p w14:paraId="5A9A5E32">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w:t>
      </w:r>
    </w:p>
    <w:p w14:paraId="11C306B5">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p>
    <w:p w14:paraId="66C2DB0D">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住所：</w:t>
      </w:r>
    </w:p>
    <w:p w14:paraId="6FBC0EAD">
      <w:pPr>
        <w:spacing w:line="360" w:lineRule="auto"/>
        <w:ind w:firstLine="480" w:firstLineChars="200"/>
        <w:rPr>
          <w:rFonts w:hint="eastAsia" w:ascii="仿宋" w:hAnsi="仿宋" w:eastAsia="仿宋" w:cs="仿宋"/>
          <w:color w:val="auto"/>
          <w:sz w:val="24"/>
          <w:szCs w:val="24"/>
          <w:highlight w:val="none"/>
        </w:rPr>
      </w:pPr>
    </w:p>
    <w:p w14:paraId="059FC77E">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w:t>
      </w:r>
    </w:p>
    <w:p w14:paraId="66F7CCEB">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p>
    <w:p w14:paraId="09EF7DCE">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住所：</w:t>
      </w:r>
    </w:p>
    <w:p w14:paraId="35AD9608">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（如果有的话，可按甲、乙、丙、丁…序列增加）</w:t>
      </w:r>
    </w:p>
    <w:p w14:paraId="5FF823DF">
      <w:pPr>
        <w:spacing w:line="360" w:lineRule="auto"/>
        <w:ind w:firstLine="480" w:firstLineChars="200"/>
        <w:rPr>
          <w:rFonts w:hint="eastAsia" w:ascii="仿宋" w:hAnsi="仿宋" w:eastAsia="仿宋" w:cs="仿宋"/>
          <w:color w:val="auto"/>
          <w:sz w:val="24"/>
          <w:szCs w:val="24"/>
          <w:highlight w:val="none"/>
        </w:rPr>
      </w:pPr>
    </w:p>
    <w:p w14:paraId="225DD997">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根据《政府采购法》第二十四条之规定，为响应</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组织实施的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项目（项目名称、</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rPr>
        <w:t>编号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采购编号</w:t>
      </w:r>
      <w:r>
        <w:rPr>
          <w:rFonts w:hint="eastAsia" w:ascii="仿宋" w:hAnsi="仿宋" w:eastAsia="仿宋" w:cs="仿宋"/>
          <w:color w:val="auto"/>
          <w:sz w:val="24"/>
          <w:szCs w:val="24"/>
          <w:highlight w:val="none"/>
        </w:rPr>
        <w:t>）的招标活动，各方经协商，就联合进行投标之事宜，达成如下协议：</w:t>
      </w:r>
    </w:p>
    <w:p w14:paraId="177B0CFC">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一、各方一致决定，以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为主办人进行投标，并按照谈判文件的规定分别提交资格文件。</w:t>
      </w:r>
    </w:p>
    <w:p w14:paraId="00883674">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在本次投标过程中，主办人法定代表人或授权代理人根据谈判文件规定及投标内容而对招标方和采购人所作的任何合法承诺，包括书面澄清及响应等均对联合投标各方产生约束力。如果成交并签订合同，则联合投标各方将共同履行对招标方和采购人所负有的全部义务并就采购合同约定的事项对采购人承担连带责任。</w:t>
      </w:r>
    </w:p>
    <w:p w14:paraId="6084886F">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三、联合投标其余各方保证对主办人为响应本次招标而提供的货物和相关服务提供全部质量保证及售后服务支持。</w:t>
      </w:r>
    </w:p>
    <w:p w14:paraId="0E782DF9">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四、本次联合投标中，甲方承担的工作和义务为:</w:t>
      </w:r>
    </w:p>
    <w:p w14:paraId="220CB6F8">
      <w:pPr>
        <w:pStyle w:val="28"/>
        <w:snapToGrid w:val="0"/>
        <w:spacing w:line="360" w:lineRule="auto"/>
        <w:ind w:firstLine="480" w:firstLineChars="200"/>
        <w:rPr>
          <w:rFonts w:hint="eastAsia" w:ascii="仿宋" w:hAnsi="仿宋" w:eastAsia="仿宋" w:cs="仿宋"/>
          <w:color w:val="auto"/>
          <w:sz w:val="24"/>
          <w:szCs w:val="24"/>
          <w:highlight w:val="none"/>
        </w:rPr>
      </w:pPr>
    </w:p>
    <w:p w14:paraId="5B43CC7D">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乙方承担的工作和义务为：</w:t>
      </w:r>
    </w:p>
    <w:p w14:paraId="4A675ABE">
      <w:pPr>
        <w:pStyle w:val="28"/>
        <w:snapToGrid w:val="0"/>
        <w:spacing w:line="360" w:lineRule="auto"/>
        <w:ind w:firstLine="480" w:firstLineChars="200"/>
        <w:rPr>
          <w:rFonts w:hint="eastAsia" w:ascii="仿宋" w:hAnsi="仿宋" w:eastAsia="仿宋" w:cs="仿宋"/>
          <w:color w:val="auto"/>
          <w:sz w:val="24"/>
          <w:szCs w:val="24"/>
          <w:highlight w:val="none"/>
        </w:rPr>
      </w:pPr>
    </w:p>
    <w:p w14:paraId="1002B5A2">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五、本协议提交招标方后，联合投标各方不得以任何形式对上述实质内容进行修改或撤销。</w:t>
      </w:r>
    </w:p>
    <w:p w14:paraId="11EB4C08">
      <w:pPr>
        <w:pStyle w:val="28"/>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六、本协议一式三份，甲、乙双方各持一份，另一份作为</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的组成部分。</w:t>
      </w:r>
    </w:p>
    <w:p w14:paraId="313B3761">
      <w:pPr>
        <w:spacing w:line="360" w:lineRule="auto"/>
        <w:rPr>
          <w:rFonts w:hint="eastAsia" w:ascii="仿宋" w:hAnsi="仿宋" w:eastAsia="仿宋" w:cs="仿宋"/>
          <w:color w:val="auto"/>
          <w:sz w:val="24"/>
          <w:szCs w:val="24"/>
          <w:highlight w:val="none"/>
        </w:rPr>
      </w:pPr>
    </w:p>
    <w:p w14:paraId="0EEB7C48">
      <w:pPr>
        <w:spacing w:line="360" w:lineRule="auto"/>
        <w:rPr>
          <w:rFonts w:hint="eastAsia" w:ascii="仿宋" w:hAnsi="仿宋" w:eastAsia="仿宋" w:cs="仿宋"/>
          <w:color w:val="auto"/>
          <w:sz w:val="24"/>
          <w:szCs w:val="24"/>
          <w:highlight w:val="none"/>
        </w:rPr>
      </w:pPr>
    </w:p>
    <w:p w14:paraId="75690925">
      <w:pPr>
        <w:spacing w:line="48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甲方（盖章）：                               乙方（盖章）：</w:t>
      </w:r>
    </w:p>
    <w:p w14:paraId="09A6835F">
      <w:pPr>
        <w:spacing w:line="48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法定代表人（签字）：                         法定代表人（签字）：</w:t>
      </w:r>
    </w:p>
    <w:p w14:paraId="1B721467">
      <w:pPr>
        <w:spacing w:line="48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                                 年  月  日</w:t>
      </w:r>
    </w:p>
    <w:p w14:paraId="1060C3F7">
      <w:pP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14:paraId="599A1BE0">
      <w:pPr>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val="en-US" w:eastAsia="zh-CN"/>
        </w:rPr>
        <w:t>十三</w:t>
      </w:r>
      <w:r>
        <w:rPr>
          <w:rFonts w:hint="eastAsia" w:ascii="仿宋" w:hAnsi="仿宋" w:eastAsia="仿宋" w:cs="仿宋"/>
          <w:b/>
          <w:color w:val="auto"/>
          <w:sz w:val="24"/>
          <w:szCs w:val="24"/>
          <w:highlight w:val="none"/>
        </w:rPr>
        <w:t>）商品包装和快递包装承诺格式（如不涉及，可不提供）</w:t>
      </w:r>
    </w:p>
    <w:p w14:paraId="78080CB6">
      <w:pPr>
        <w:spacing w:line="360" w:lineRule="auto"/>
        <w:rPr>
          <w:rFonts w:hint="eastAsia" w:ascii="仿宋" w:hAnsi="仿宋" w:eastAsia="仿宋" w:cs="仿宋"/>
          <w:b/>
          <w:color w:val="auto"/>
          <w:sz w:val="24"/>
          <w:szCs w:val="24"/>
          <w:highlight w:val="none"/>
        </w:rPr>
      </w:pPr>
    </w:p>
    <w:p w14:paraId="1708B5FC">
      <w:pPr>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商品包装和快递包装承诺</w:t>
      </w:r>
    </w:p>
    <w:p w14:paraId="7C449C48">
      <w:pPr>
        <w:spacing w:line="360" w:lineRule="auto"/>
        <w:rPr>
          <w:rFonts w:hint="eastAsia" w:ascii="仿宋" w:hAnsi="仿宋" w:eastAsia="仿宋" w:cs="仿宋"/>
          <w:b/>
          <w:color w:val="auto"/>
          <w:sz w:val="24"/>
          <w:szCs w:val="24"/>
          <w:highlight w:val="none"/>
        </w:rPr>
      </w:pPr>
    </w:p>
    <w:p w14:paraId="4E228C6E">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本公司现参与_________项目（项目编号：__________</w:t>
      </w:r>
      <w:r>
        <w:rPr>
          <w:rFonts w:hint="eastAsia" w:ascii="仿宋" w:hAnsi="仿宋" w:eastAsia="仿宋" w:cs="仿宋"/>
          <w:color w:val="auto"/>
          <w:kern w:val="0"/>
          <w:sz w:val="24"/>
          <w:szCs w:val="24"/>
          <w:highlight w:val="none"/>
          <w:lang w:eastAsia="zh-CN"/>
        </w:rPr>
        <w:t>招标编号</w:t>
      </w:r>
      <w:r>
        <w:rPr>
          <w:rFonts w:hint="eastAsia" w:ascii="仿宋" w:hAnsi="仿宋" w:eastAsia="仿宋" w:cs="仿宋"/>
          <w:color w:val="auto"/>
          <w:kern w:val="0"/>
          <w:sz w:val="24"/>
          <w:szCs w:val="24"/>
          <w:highlight w:val="none"/>
        </w:rPr>
        <w:t>：_________）的采购活动，本公司承诺所供商品包装符合《商品包装政府采购需求标准（试行）》，快递包装符合《快递包装政府采购需求标准（试行）》。</w:t>
      </w:r>
    </w:p>
    <w:p w14:paraId="72F915BE">
      <w:pPr>
        <w:pStyle w:val="12"/>
        <w:widowControl w:val="0"/>
        <w:adjustRightInd w:val="0"/>
        <w:snapToGrid w:val="0"/>
        <w:spacing w:before="0" w:beforeAutospacing="0" w:after="0" w:afterAutospacing="0" w:line="36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如上述声明不真实，愿意按照政府采购有关法律法规的规定接受处罚。</w:t>
      </w:r>
    </w:p>
    <w:p w14:paraId="509D2965">
      <w:pPr>
        <w:pStyle w:val="12"/>
        <w:widowControl w:val="0"/>
        <w:adjustRightInd w:val="0"/>
        <w:snapToGrid w:val="0"/>
        <w:spacing w:before="0" w:beforeAutospacing="0" w:after="0" w:afterAutospacing="0" w:line="36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特此声明</w:t>
      </w:r>
    </w:p>
    <w:p w14:paraId="027BAF58">
      <w:pPr>
        <w:snapToGrid w:val="0"/>
        <w:spacing w:line="360" w:lineRule="auto"/>
        <w:rPr>
          <w:rFonts w:hint="eastAsia" w:ascii="仿宋" w:hAnsi="仿宋" w:eastAsia="仿宋" w:cs="仿宋"/>
          <w:color w:val="auto"/>
          <w:kern w:val="0"/>
          <w:sz w:val="24"/>
          <w:szCs w:val="24"/>
          <w:highlight w:val="none"/>
        </w:rPr>
      </w:pPr>
    </w:p>
    <w:p w14:paraId="4F97106A">
      <w:pPr>
        <w:snapToGrid w:val="0"/>
        <w:spacing w:line="360" w:lineRule="auto"/>
        <w:rPr>
          <w:rFonts w:hint="eastAsia" w:ascii="仿宋" w:hAnsi="仿宋" w:eastAsia="仿宋" w:cs="仿宋"/>
          <w:color w:val="auto"/>
          <w:kern w:val="0"/>
          <w:sz w:val="24"/>
          <w:szCs w:val="24"/>
          <w:highlight w:val="none"/>
        </w:rPr>
      </w:pPr>
    </w:p>
    <w:p w14:paraId="35205733">
      <w:pPr>
        <w:snapToGrid w:val="0"/>
        <w:spacing w:line="360" w:lineRule="auto"/>
        <w:rPr>
          <w:rFonts w:hint="eastAsia" w:ascii="仿宋" w:hAnsi="仿宋" w:eastAsia="仿宋" w:cs="仿宋"/>
          <w:color w:val="auto"/>
          <w:kern w:val="0"/>
          <w:sz w:val="24"/>
          <w:szCs w:val="24"/>
          <w:highlight w:val="none"/>
        </w:rPr>
      </w:pPr>
    </w:p>
    <w:p w14:paraId="51907DE0">
      <w:pPr>
        <w:snapToGrid w:val="0"/>
        <w:spacing w:line="360" w:lineRule="auto"/>
        <w:rPr>
          <w:rFonts w:hint="eastAsia" w:ascii="仿宋" w:hAnsi="仿宋" w:eastAsia="仿宋" w:cs="仿宋"/>
          <w:color w:val="auto"/>
          <w:kern w:val="0"/>
          <w:sz w:val="24"/>
          <w:szCs w:val="24"/>
          <w:highlight w:val="none"/>
        </w:rPr>
      </w:pPr>
    </w:p>
    <w:p w14:paraId="50322297">
      <w:pPr>
        <w:tabs>
          <w:tab w:val="left" w:pos="8647"/>
        </w:tabs>
        <w:snapToGrid w:val="0"/>
        <w:spacing w:line="360" w:lineRule="auto"/>
        <w:ind w:firstLine="4440" w:firstLineChars="18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名称：（盖章）</w:t>
      </w:r>
    </w:p>
    <w:p w14:paraId="0382D877">
      <w:pPr>
        <w:snapToGrid w:val="0"/>
        <w:spacing w:line="360" w:lineRule="auto"/>
        <w:ind w:firstLine="4440" w:firstLineChars="185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日期：</w:t>
      </w:r>
    </w:p>
    <w:p w14:paraId="3A29E09D">
      <w:pPr>
        <w:snapToGrid w:val="0"/>
        <w:spacing w:line="360" w:lineRule="auto"/>
        <w:rPr>
          <w:rFonts w:hint="eastAsia" w:ascii="仿宋" w:hAnsi="仿宋" w:eastAsia="仿宋" w:cs="仿宋"/>
          <w:color w:val="auto"/>
          <w:kern w:val="0"/>
          <w:sz w:val="24"/>
          <w:szCs w:val="24"/>
          <w:highlight w:val="none"/>
        </w:rPr>
      </w:pPr>
    </w:p>
    <w:p w14:paraId="15CC5C5E">
      <w:pP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p>
    <w:p w14:paraId="468A4F2F">
      <w:pPr>
        <w:pageBreakBefore w:val="0"/>
        <w:widowControl/>
        <w:kinsoku/>
        <w:autoSpaceDE/>
        <w:bidi w:val="0"/>
        <w:snapToGrid w:val="0"/>
        <w:spacing w:line="480" w:lineRule="exact"/>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lang w:eastAsia="zh-CN"/>
        </w:rPr>
        <w:t>（</w:t>
      </w:r>
      <w:r>
        <w:rPr>
          <w:rFonts w:hint="eastAsia" w:ascii="仿宋" w:hAnsi="仿宋" w:eastAsia="仿宋" w:cs="仿宋"/>
          <w:b/>
          <w:color w:val="auto"/>
          <w:kern w:val="0"/>
          <w:sz w:val="24"/>
          <w:highlight w:val="none"/>
          <w:lang w:val="en-US" w:eastAsia="zh-CN"/>
        </w:rPr>
        <w:t>十四</w:t>
      </w:r>
      <w:r>
        <w:rPr>
          <w:rFonts w:hint="eastAsia" w:ascii="仿宋" w:hAnsi="仿宋" w:eastAsia="仿宋" w:cs="仿宋"/>
          <w:b/>
          <w:color w:val="auto"/>
          <w:kern w:val="0"/>
          <w:sz w:val="24"/>
          <w:highlight w:val="none"/>
          <w:lang w:eastAsia="zh-CN"/>
        </w:rPr>
        <w:t>）《关于符合本国产品标准的声明函》格式</w:t>
      </w:r>
      <w:r>
        <w:rPr>
          <w:rFonts w:hint="eastAsia" w:ascii="仿宋" w:hAnsi="仿宋" w:eastAsia="仿宋" w:cs="仿宋"/>
          <w:b/>
          <w:color w:val="auto"/>
          <w:kern w:val="0"/>
          <w:sz w:val="24"/>
          <w:highlight w:val="none"/>
        </w:rPr>
        <w:t>（如不涉及，可不提供）</w:t>
      </w:r>
    </w:p>
    <w:p w14:paraId="1549BB80">
      <w:pPr>
        <w:pageBreakBefore w:val="0"/>
        <w:widowControl/>
        <w:kinsoku/>
        <w:autoSpaceDE/>
        <w:bidi w:val="0"/>
        <w:snapToGrid w:val="0"/>
        <w:spacing w:line="480" w:lineRule="exact"/>
        <w:rPr>
          <w:rFonts w:hint="eastAsia" w:ascii="仿宋" w:hAnsi="仿宋" w:eastAsia="仿宋" w:cs="仿宋"/>
          <w:b/>
          <w:color w:val="auto"/>
          <w:kern w:val="0"/>
          <w:sz w:val="24"/>
          <w:highlight w:val="none"/>
        </w:rPr>
      </w:pPr>
    </w:p>
    <w:p w14:paraId="43F9E4AD">
      <w:pPr>
        <w:pageBreakBefore w:val="0"/>
        <w:kinsoku/>
        <w:autoSpaceDE/>
        <w:bidi w:val="0"/>
        <w:spacing w:line="48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关于符合本国产品标准的声明函</w:t>
      </w:r>
    </w:p>
    <w:p w14:paraId="658AF625">
      <w:pPr>
        <w:pageBreakBefore w:val="0"/>
        <w:kinsoku/>
        <w:autoSpaceDE/>
        <w:bidi w:val="0"/>
        <w:spacing w:line="480" w:lineRule="exact"/>
        <w:jc w:val="center"/>
        <w:rPr>
          <w:rFonts w:hint="eastAsia" w:ascii="仿宋" w:hAnsi="仿宋" w:eastAsia="仿宋" w:cs="仿宋"/>
          <w:b/>
          <w:color w:val="auto"/>
          <w:sz w:val="24"/>
          <w:highlight w:val="none"/>
        </w:rPr>
      </w:pPr>
    </w:p>
    <w:p w14:paraId="54CF940C">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4F03686F">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u w:val="single"/>
          <w:vertAlign w:val="superscript"/>
          <w:lang w:val="en-US" w:eastAsia="zh-CN"/>
        </w:rPr>
        <w:t>1</w:t>
      </w:r>
      <w:r>
        <w:rPr>
          <w:rFonts w:hint="eastAsia" w:ascii="仿宋" w:hAnsi="仿宋" w:eastAsia="仿宋" w:cs="仿宋"/>
          <w:color w:val="auto"/>
          <w:sz w:val="24"/>
          <w:szCs w:val="24"/>
          <w:highlight w:val="none"/>
        </w:rPr>
        <w:t>，生产厂为</w:t>
      </w:r>
      <w:r>
        <w:rPr>
          <w:rFonts w:hint="eastAsia" w:ascii="仿宋" w:hAnsi="仿宋" w:eastAsia="仿宋" w:cs="仿宋"/>
          <w:color w:val="auto"/>
          <w:sz w:val="24"/>
          <w:szCs w:val="24"/>
          <w:highlight w:val="none"/>
          <w:u w:val="single"/>
        </w:rPr>
        <w:t>（厂名）</w:t>
      </w:r>
      <w:r>
        <w:rPr>
          <w:rFonts w:hint="eastAsia" w:ascii="仿宋" w:hAnsi="仿宋" w:eastAsia="仿宋" w:cs="仿宋"/>
          <w:color w:val="auto"/>
          <w:sz w:val="24"/>
          <w:szCs w:val="24"/>
          <w:highlight w:val="none"/>
          <w:u w:val="single"/>
          <w:vertAlign w:val="superscript"/>
        </w:rPr>
        <w:t>2</w:t>
      </w:r>
      <w:r>
        <w:rPr>
          <w:rFonts w:hint="eastAsia" w:ascii="仿宋" w:hAnsi="仿宋" w:eastAsia="仿宋" w:cs="仿宋"/>
          <w:color w:val="auto"/>
          <w:sz w:val="24"/>
          <w:szCs w:val="24"/>
          <w:highlight w:val="none"/>
        </w:rPr>
        <w:t>，厂址为</w:t>
      </w:r>
      <w:r>
        <w:rPr>
          <w:rFonts w:hint="eastAsia" w:ascii="仿宋" w:hAnsi="仿宋" w:eastAsia="仿宋" w:cs="仿宋"/>
          <w:color w:val="auto"/>
          <w:sz w:val="24"/>
          <w:szCs w:val="24"/>
          <w:highlight w:val="none"/>
          <w:u w:val="single"/>
        </w:rPr>
        <w:t>（生产厂址）</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的中国境内生产的组件成本占比≥</w:t>
      </w:r>
      <w:r>
        <w:rPr>
          <w:rFonts w:hint="eastAsia" w:ascii="仿宋" w:hAnsi="仿宋" w:eastAsia="仿宋" w:cs="仿宋"/>
          <w:color w:val="auto"/>
          <w:sz w:val="24"/>
          <w:szCs w:val="24"/>
          <w:highlight w:val="none"/>
          <w:u w:val="single"/>
        </w:rPr>
        <w:t>（规定比例）</w:t>
      </w:r>
      <w:r>
        <w:rPr>
          <w:rFonts w:hint="eastAsia" w:ascii="仿宋" w:hAnsi="仿宋" w:eastAsia="仿宋" w:cs="仿宋"/>
          <w:color w:val="auto"/>
          <w:sz w:val="24"/>
          <w:szCs w:val="24"/>
          <w:highlight w:val="none"/>
          <w:u w:val="single"/>
          <w:vertAlign w:val="superscript"/>
        </w:rPr>
        <w:t>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（关键组件）</w:t>
      </w:r>
      <w:r>
        <w:rPr>
          <w:rFonts w:hint="eastAsia" w:ascii="仿宋" w:hAnsi="仿宋" w:eastAsia="仿宋" w:cs="仿宋"/>
          <w:color w:val="auto"/>
          <w:sz w:val="24"/>
          <w:szCs w:val="24"/>
          <w:highlight w:val="none"/>
          <w:u w:val="single"/>
          <w:vertAlign w:val="superscript"/>
        </w:rPr>
        <w:t>4</w:t>
      </w:r>
      <w:r>
        <w:rPr>
          <w:rFonts w:hint="eastAsia" w:ascii="仿宋" w:hAnsi="仿宋" w:eastAsia="仿宋" w:cs="仿宋"/>
          <w:color w:val="auto"/>
          <w:sz w:val="24"/>
          <w:szCs w:val="24"/>
          <w:highlight w:val="none"/>
        </w:rPr>
        <w:t>在中国境内生产。</w:t>
      </w:r>
      <w:r>
        <w:rPr>
          <w:rFonts w:hint="eastAsia" w:ascii="仿宋" w:hAnsi="仿宋" w:eastAsia="仿宋" w:cs="仿宋"/>
          <w:color w:val="auto"/>
          <w:sz w:val="24"/>
          <w:szCs w:val="24"/>
          <w:highlight w:val="none"/>
          <w:u w:val="single"/>
        </w:rPr>
        <w:t>（产品名称1）</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（关键工序）</w:t>
      </w:r>
      <w:r>
        <w:rPr>
          <w:rFonts w:hint="eastAsia" w:ascii="仿宋" w:hAnsi="仿宋" w:eastAsia="仿宋" w:cs="仿宋"/>
          <w:color w:val="auto"/>
          <w:sz w:val="24"/>
          <w:szCs w:val="24"/>
          <w:highlight w:val="none"/>
          <w:u w:val="single"/>
          <w:vertAlign w:val="superscript"/>
        </w:rPr>
        <w:t>5</w:t>
      </w:r>
      <w:r>
        <w:rPr>
          <w:rFonts w:hint="eastAsia" w:ascii="仿宋" w:hAnsi="仿宋" w:eastAsia="仿宋" w:cs="仿宋"/>
          <w:color w:val="auto"/>
          <w:sz w:val="24"/>
          <w:szCs w:val="24"/>
          <w:highlight w:val="none"/>
        </w:rPr>
        <w:t>在中国境内完成。</w:t>
      </w:r>
    </w:p>
    <w:p w14:paraId="6D4895C7">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，生产厂为</w:t>
      </w:r>
      <w:r>
        <w:rPr>
          <w:rFonts w:hint="eastAsia" w:ascii="仿宋" w:hAnsi="仿宋" w:eastAsia="仿宋" w:cs="仿宋"/>
          <w:color w:val="auto"/>
          <w:sz w:val="24"/>
          <w:szCs w:val="24"/>
          <w:highlight w:val="none"/>
          <w:u w:val="single"/>
        </w:rPr>
        <w:t>（厂名）</w:t>
      </w:r>
      <w:r>
        <w:rPr>
          <w:rFonts w:hint="eastAsia" w:ascii="仿宋" w:hAnsi="仿宋" w:eastAsia="仿宋" w:cs="仿宋"/>
          <w:color w:val="auto"/>
          <w:sz w:val="24"/>
          <w:szCs w:val="24"/>
          <w:highlight w:val="none"/>
        </w:rPr>
        <w:t>，厂址为</w:t>
      </w:r>
      <w:r>
        <w:rPr>
          <w:rFonts w:hint="eastAsia" w:ascii="仿宋" w:hAnsi="仿宋" w:eastAsia="仿宋" w:cs="仿宋"/>
          <w:color w:val="auto"/>
          <w:sz w:val="24"/>
          <w:szCs w:val="24"/>
          <w:highlight w:val="none"/>
          <w:u w:val="single"/>
        </w:rPr>
        <w:t>（生产厂址）</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的中国境内生产的组件成本占比≥</w:t>
      </w:r>
      <w:r>
        <w:rPr>
          <w:rFonts w:hint="eastAsia" w:ascii="仿宋" w:hAnsi="仿宋" w:eastAsia="仿宋" w:cs="仿宋"/>
          <w:color w:val="auto"/>
          <w:sz w:val="24"/>
          <w:szCs w:val="24"/>
          <w:highlight w:val="none"/>
          <w:u w:val="single"/>
        </w:rPr>
        <w:t>（规定比例）</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（关键组件）</w:t>
      </w:r>
      <w:r>
        <w:rPr>
          <w:rFonts w:hint="eastAsia" w:ascii="仿宋" w:hAnsi="仿宋" w:eastAsia="仿宋" w:cs="仿宋"/>
          <w:color w:val="auto"/>
          <w:sz w:val="24"/>
          <w:szCs w:val="24"/>
          <w:highlight w:val="none"/>
        </w:rPr>
        <w:t>在中国境内生产。</w:t>
      </w:r>
      <w:r>
        <w:rPr>
          <w:rFonts w:hint="eastAsia" w:ascii="仿宋" w:hAnsi="仿宋" w:eastAsia="仿宋" w:cs="仿宋"/>
          <w:color w:val="auto"/>
          <w:sz w:val="24"/>
          <w:szCs w:val="24"/>
          <w:highlight w:val="none"/>
          <w:u w:val="single"/>
        </w:rPr>
        <w:t>（产品名称2）</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（关键工序）</w:t>
      </w:r>
      <w:r>
        <w:rPr>
          <w:rFonts w:hint="eastAsia" w:ascii="仿宋" w:hAnsi="仿宋" w:eastAsia="仿宋" w:cs="仿宋"/>
          <w:color w:val="auto"/>
          <w:sz w:val="24"/>
          <w:szCs w:val="24"/>
          <w:highlight w:val="none"/>
        </w:rPr>
        <w:t>在中国境内完成。</w:t>
      </w:r>
    </w:p>
    <w:p w14:paraId="53152D8B">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7B039462">
      <w:pPr>
        <w:keepNext w:val="0"/>
        <w:keepLines w:val="0"/>
        <w:pageBreakBefore w:val="0"/>
        <w:widowControl w:val="0"/>
        <w:kinsoku/>
        <w:wordWrap/>
        <w:overflowPunct/>
        <w:topLinePunct w:val="0"/>
        <w:autoSpaceDE/>
        <w:autoSpaceDN/>
        <w:bidi w:val="0"/>
        <w:adjustRightInd/>
        <w:snapToGrid w:val="0"/>
        <w:spacing w:before="60" w:after="60" w:line="480" w:lineRule="exact"/>
        <w:ind w:firstLine="480" w:firstLineChars="20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color w:val="auto"/>
          <w:sz w:val="24"/>
          <w:szCs w:val="24"/>
          <w:highlight w:val="none"/>
        </w:rPr>
        <w:t>本公司（单位）对上述声明内容的真实性负责。如有虚假，愿承担相应法律责任。</w:t>
      </w:r>
    </w:p>
    <w:p w14:paraId="50E71807">
      <w:pPr>
        <w:pStyle w:val="28"/>
        <w:pageBreakBefore w:val="0"/>
        <w:kinsoku/>
        <w:autoSpaceDE/>
        <w:bidi w:val="0"/>
        <w:snapToGrid w:val="0"/>
        <w:spacing w:line="480" w:lineRule="exact"/>
        <w:ind w:firstLine="4320" w:firstLineChars="1800"/>
        <w:jc w:val="both"/>
        <w:rPr>
          <w:rFonts w:hint="eastAsia" w:ascii="仿宋" w:hAnsi="仿宋" w:eastAsia="仿宋" w:cs="仿宋"/>
          <w:color w:val="auto"/>
          <w:sz w:val="24"/>
          <w:szCs w:val="24"/>
          <w:highlight w:val="none"/>
        </w:rPr>
      </w:pPr>
    </w:p>
    <w:p w14:paraId="6C225B34">
      <w:pPr>
        <w:pStyle w:val="28"/>
        <w:pageBreakBefore w:val="0"/>
        <w:kinsoku/>
        <w:autoSpaceDE/>
        <w:bidi w:val="0"/>
        <w:snapToGrid w:val="0"/>
        <w:spacing w:line="480" w:lineRule="exact"/>
        <w:ind w:firstLine="4320" w:firstLineChars="18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公司（单位）名称（盖章）：　        </w:t>
      </w:r>
    </w:p>
    <w:p w14:paraId="550891F4">
      <w:pPr>
        <w:pStyle w:val="28"/>
        <w:pageBreakBefore w:val="0"/>
        <w:kinsoku/>
        <w:autoSpaceDE/>
        <w:bidi w:val="0"/>
        <w:snapToGrid w:val="0"/>
        <w:spacing w:line="480" w:lineRule="exact"/>
        <w:ind w:firstLine="4320" w:firstLineChars="18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w:t>
      </w:r>
    </w:p>
    <w:p w14:paraId="47B3A84A">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仿宋" w:hAnsi="仿宋" w:eastAsia="仿宋" w:cs="仿宋"/>
          <w:color w:val="auto"/>
          <w:szCs w:val="21"/>
          <w:highlight w:val="none"/>
          <w:lang w:val="en-US" w:eastAsia="zh-CN"/>
        </w:rPr>
      </w:pPr>
    </w:p>
    <w:p w14:paraId="05240BD0">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说明：</w:t>
      </w:r>
    </w:p>
    <w:p w14:paraId="6DD7DDE0">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1.产品如有型号，请在“产品名称”栏一并填写。</w:t>
      </w:r>
    </w:p>
    <w:p w14:paraId="1024542F">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2.生产厂名与厂址应与生产厂营业执照载明的相关信息保持一致。</w:t>
      </w:r>
    </w:p>
    <w:p w14:paraId="2DC6A96F">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3.该产品的中国境内生产的组件成本占比相关要求实施前，“规定比例”栏可不填，下同。</w:t>
      </w:r>
    </w:p>
    <w:p w14:paraId="77145BA8">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4.该产品的关键组件要求实施前，“关键组件”栏可不填，下同。</w:t>
      </w:r>
    </w:p>
    <w:p w14:paraId="13568855">
      <w:pPr>
        <w:keepNext w:val="0"/>
        <w:keepLines w:val="0"/>
        <w:pageBreakBefore w:val="0"/>
        <w:widowControl w:val="0"/>
        <w:kinsoku/>
        <w:wordWrap/>
        <w:overflowPunct/>
        <w:topLinePunct w:val="0"/>
        <w:autoSpaceDE/>
        <w:autoSpaceDN/>
        <w:bidi w:val="0"/>
        <w:adjustRightInd/>
        <w:spacing w:line="48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5.该产品的关键工序要求实施前，“关键工序”栏可不填，下同。</w:t>
      </w:r>
    </w:p>
    <w:p w14:paraId="31BD2CCF">
      <w:pPr>
        <w:keepNext w:val="0"/>
        <w:keepLines w:val="0"/>
        <w:pageBreakBefore w:val="0"/>
        <w:widowControl w:val="0"/>
        <w:kinsoku/>
        <w:wordWrap/>
        <w:overflowPunct/>
        <w:topLinePunct w:val="0"/>
        <w:autoSpaceDE/>
        <w:autoSpaceDN/>
        <w:bidi w:val="0"/>
        <w:spacing w:line="360" w:lineRule="auto"/>
        <w:textAlignment w:val="auto"/>
        <w:rPr>
          <w:rFonts w:hint="eastAsia" w:ascii="仿宋" w:hAnsi="仿宋" w:eastAsia="仿宋" w:cs="仿宋"/>
          <w:b/>
          <w:bCs/>
          <w:color w:val="auto"/>
          <w:kern w:val="0"/>
          <w:sz w:val="24"/>
          <w:szCs w:val="24"/>
          <w:highlight w:val="none"/>
        </w:rPr>
      </w:pPr>
      <w:r>
        <w:rPr>
          <w:rFonts w:hint="eastAsia" w:ascii="仿宋" w:hAnsi="仿宋" w:eastAsia="仿宋" w:cs="仿宋"/>
          <w:color w:val="auto"/>
          <w:kern w:val="0"/>
          <w:sz w:val="24"/>
          <w:szCs w:val="24"/>
          <w:highlight w:val="none"/>
        </w:rPr>
        <w:br w:type="page"/>
      </w:r>
      <w:bookmarkStart w:id="77" w:name="_Toc3359"/>
      <w:r>
        <w:rPr>
          <w:rFonts w:hint="eastAsia" w:ascii="仿宋" w:hAnsi="仿宋" w:eastAsia="仿宋" w:cs="仿宋"/>
          <w:b/>
          <w:bCs/>
          <w:color w:val="auto"/>
          <w:kern w:val="0"/>
          <w:sz w:val="24"/>
          <w:szCs w:val="24"/>
          <w:highlight w:val="none"/>
        </w:rPr>
        <w:t>相关附件</w:t>
      </w:r>
      <w:bookmarkEnd w:id="77"/>
    </w:p>
    <w:p w14:paraId="1E025B03">
      <w:pPr>
        <w:keepNext w:val="0"/>
        <w:keepLines w:val="0"/>
        <w:pageBreakBefore w:val="0"/>
        <w:widowControl w:val="0"/>
        <w:kinsoku/>
        <w:wordWrap/>
        <w:overflowPunct/>
        <w:topLinePunct w:val="0"/>
        <w:autoSpaceDE/>
        <w:autoSpaceDN/>
        <w:bidi w:val="0"/>
        <w:spacing w:line="360" w:lineRule="auto"/>
        <w:textAlignment w:val="auto"/>
        <w:rPr>
          <w:rFonts w:hint="eastAsia" w:ascii="仿宋" w:hAnsi="仿宋" w:eastAsia="仿宋" w:cs="仿宋"/>
          <w:b/>
          <w:bCs/>
          <w:color w:val="auto"/>
          <w:sz w:val="24"/>
          <w:szCs w:val="24"/>
          <w:highlight w:val="none"/>
        </w:rPr>
      </w:pPr>
      <w:bookmarkStart w:id="78" w:name="_Toc10828"/>
      <w:r>
        <w:rPr>
          <w:rFonts w:hint="eastAsia" w:ascii="仿宋" w:hAnsi="仿宋" w:eastAsia="仿宋" w:cs="仿宋"/>
          <w:b/>
          <w:color w:val="auto"/>
          <w:sz w:val="24"/>
          <w:szCs w:val="24"/>
          <w:highlight w:val="none"/>
        </w:rPr>
        <w:t>附件：</w:t>
      </w:r>
      <w:r>
        <w:rPr>
          <w:rFonts w:hint="eastAsia" w:ascii="仿宋" w:hAnsi="仿宋" w:eastAsia="仿宋" w:cs="仿宋"/>
          <w:b/>
          <w:bCs/>
          <w:color w:val="auto"/>
          <w:sz w:val="24"/>
          <w:szCs w:val="24"/>
          <w:highlight w:val="none"/>
        </w:rPr>
        <w:t>质疑函范本</w:t>
      </w:r>
      <w:bookmarkEnd w:id="78"/>
    </w:p>
    <w:p w14:paraId="0CE024A8">
      <w:pPr>
        <w:keepNext w:val="0"/>
        <w:keepLines w:val="0"/>
        <w:pageBreakBefore w:val="0"/>
        <w:widowControl w:val="0"/>
        <w:kinsoku/>
        <w:wordWrap/>
        <w:overflowPunct/>
        <w:topLinePunct w:val="0"/>
        <w:autoSpaceDE/>
        <w:autoSpaceDN/>
        <w:bidi w:val="0"/>
        <w:adjustRightInd w:val="0"/>
        <w:snapToGrid w:val="0"/>
        <w:spacing w:before="312" w:beforeLines="100"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一、质疑供应商基本信息</w:t>
      </w:r>
    </w:p>
    <w:p w14:paraId="28F5185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质疑供应商：</w:t>
      </w:r>
      <w:r>
        <w:rPr>
          <w:rFonts w:hint="eastAsia" w:ascii="仿宋" w:hAnsi="仿宋" w:eastAsia="仿宋" w:cs="仿宋"/>
          <w:color w:val="auto"/>
          <w:sz w:val="24"/>
          <w:szCs w:val="24"/>
          <w:highlight w:val="none"/>
          <w:u w:val="dotted"/>
        </w:rPr>
        <w:t xml:space="preserve">                                        </w:t>
      </w:r>
    </w:p>
    <w:p w14:paraId="57A1295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dotted"/>
        </w:rPr>
        <w:t xml:space="preserve">                          </w:t>
      </w:r>
      <w:r>
        <w:rPr>
          <w:rFonts w:hint="eastAsia" w:ascii="仿宋" w:hAnsi="仿宋" w:eastAsia="仿宋" w:cs="仿宋"/>
          <w:color w:val="auto"/>
          <w:sz w:val="24"/>
          <w:szCs w:val="24"/>
          <w:highlight w:val="none"/>
        </w:rPr>
        <w:t>邮编：</w:t>
      </w:r>
      <w:r>
        <w:rPr>
          <w:rFonts w:hint="eastAsia" w:ascii="仿宋" w:hAnsi="仿宋" w:eastAsia="仿宋" w:cs="仿宋"/>
          <w:color w:val="auto"/>
          <w:sz w:val="24"/>
          <w:szCs w:val="24"/>
          <w:highlight w:val="none"/>
          <w:u w:val="dotted"/>
        </w:rPr>
        <w:t xml:space="preserve">                                  </w:t>
      </w:r>
    </w:p>
    <w:p w14:paraId="3FEEB93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u w:val="dotted"/>
        </w:rPr>
        <w:t xml:space="preserve">                      </w:t>
      </w: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dotted"/>
        </w:rPr>
        <w:t xml:space="preserve">                              </w:t>
      </w:r>
    </w:p>
    <w:p w14:paraId="7CEDD2A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授权代表：</w:t>
      </w:r>
      <w:r>
        <w:rPr>
          <w:rFonts w:hint="eastAsia" w:ascii="仿宋" w:hAnsi="仿宋" w:eastAsia="仿宋" w:cs="仿宋"/>
          <w:color w:val="auto"/>
          <w:sz w:val="24"/>
          <w:szCs w:val="24"/>
          <w:highlight w:val="none"/>
          <w:u w:val="dotted"/>
        </w:rPr>
        <w:t xml:space="preserve">                                          </w:t>
      </w:r>
    </w:p>
    <w:p w14:paraId="5DA893F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dotted"/>
        </w:rPr>
        <w:t xml:space="preserve">                                           </w:t>
      </w:r>
      <w:r>
        <w:rPr>
          <w:rFonts w:hint="eastAsia" w:ascii="仿宋" w:hAnsi="仿宋" w:eastAsia="仿宋" w:cs="仿宋"/>
          <w:color w:val="auto"/>
          <w:sz w:val="24"/>
          <w:szCs w:val="24"/>
          <w:highlight w:val="none"/>
        </w:rPr>
        <w:t xml:space="preserve"> </w:t>
      </w:r>
    </w:p>
    <w:p w14:paraId="1EF8B6D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w:t>
      </w:r>
      <w:r>
        <w:rPr>
          <w:rFonts w:hint="eastAsia" w:ascii="仿宋" w:hAnsi="仿宋" w:eastAsia="仿宋" w:cs="仿宋"/>
          <w:color w:val="auto"/>
          <w:sz w:val="24"/>
          <w:szCs w:val="24"/>
          <w:highlight w:val="none"/>
          <w:u w:val="dotted"/>
        </w:rPr>
        <w:t xml:space="preserve">                        </w:t>
      </w:r>
      <w:r>
        <w:rPr>
          <w:rFonts w:hint="eastAsia" w:ascii="仿宋" w:hAnsi="仿宋" w:eastAsia="仿宋" w:cs="仿宋"/>
          <w:color w:val="auto"/>
          <w:sz w:val="24"/>
          <w:szCs w:val="24"/>
          <w:highlight w:val="none"/>
        </w:rPr>
        <w:t>邮编：</w:t>
      </w:r>
      <w:r>
        <w:rPr>
          <w:rFonts w:hint="eastAsia" w:ascii="仿宋" w:hAnsi="仿宋" w:eastAsia="仿宋" w:cs="仿宋"/>
          <w:color w:val="auto"/>
          <w:sz w:val="24"/>
          <w:szCs w:val="24"/>
          <w:highlight w:val="none"/>
          <w:u w:val="dotted"/>
        </w:rPr>
        <w:t xml:space="preserve">                                   </w:t>
      </w:r>
    </w:p>
    <w:p w14:paraId="322B556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二、质疑项目基本情况</w:t>
      </w:r>
    </w:p>
    <w:p w14:paraId="29BACA3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质疑项目的名称：</w:t>
      </w:r>
      <w:r>
        <w:rPr>
          <w:rFonts w:hint="eastAsia" w:ascii="仿宋" w:hAnsi="仿宋" w:eastAsia="仿宋" w:cs="仿宋"/>
          <w:color w:val="auto"/>
          <w:sz w:val="24"/>
          <w:szCs w:val="24"/>
          <w:highlight w:val="none"/>
          <w:u w:val="dotted"/>
        </w:rPr>
        <w:t xml:space="preserve">                                      </w:t>
      </w:r>
    </w:p>
    <w:p w14:paraId="0809235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质疑项目的编号：</w:t>
      </w:r>
      <w:r>
        <w:rPr>
          <w:rFonts w:hint="eastAsia" w:ascii="仿宋" w:hAnsi="仿宋" w:eastAsia="仿宋" w:cs="仿宋"/>
          <w:color w:val="auto"/>
          <w:sz w:val="24"/>
          <w:szCs w:val="24"/>
          <w:highlight w:val="none"/>
          <w:u w:val="dotted"/>
        </w:rPr>
        <w:t xml:space="preserve">               </w:t>
      </w:r>
    </w:p>
    <w:p w14:paraId="61434FA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采购人名称：</w:t>
      </w:r>
      <w:r>
        <w:rPr>
          <w:rFonts w:hint="eastAsia" w:ascii="仿宋" w:hAnsi="仿宋" w:eastAsia="仿宋" w:cs="仿宋"/>
          <w:color w:val="auto"/>
          <w:sz w:val="24"/>
          <w:szCs w:val="24"/>
          <w:highlight w:val="none"/>
          <w:u w:val="dotted"/>
        </w:rPr>
        <w:t xml:space="preserve">                                         </w:t>
      </w:r>
    </w:p>
    <w:p w14:paraId="39B19A5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采购文件获取日期：</w:t>
      </w:r>
      <w:r>
        <w:rPr>
          <w:rFonts w:hint="eastAsia" w:ascii="仿宋" w:hAnsi="仿宋" w:eastAsia="仿宋" w:cs="仿宋"/>
          <w:color w:val="auto"/>
          <w:sz w:val="24"/>
          <w:szCs w:val="24"/>
          <w:highlight w:val="none"/>
          <w:u w:val="dotted"/>
        </w:rPr>
        <w:t xml:space="preserve">                                           </w:t>
      </w:r>
    </w:p>
    <w:p w14:paraId="0AFE107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三、质疑事项具体内容</w:t>
      </w:r>
    </w:p>
    <w:p w14:paraId="6933F0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质疑事项1：</w:t>
      </w:r>
      <w:r>
        <w:rPr>
          <w:rFonts w:hint="eastAsia" w:ascii="仿宋" w:hAnsi="仿宋" w:eastAsia="仿宋" w:cs="仿宋"/>
          <w:color w:val="auto"/>
          <w:sz w:val="24"/>
          <w:szCs w:val="24"/>
          <w:highlight w:val="none"/>
          <w:u w:val="dotted"/>
        </w:rPr>
        <w:t xml:space="preserve">                                         </w:t>
      </w:r>
    </w:p>
    <w:p w14:paraId="4FF9E9D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事实依据：</w:t>
      </w:r>
      <w:r>
        <w:rPr>
          <w:rFonts w:hint="eastAsia" w:ascii="仿宋" w:hAnsi="仿宋" w:eastAsia="仿宋" w:cs="仿宋"/>
          <w:color w:val="auto"/>
          <w:sz w:val="24"/>
          <w:szCs w:val="24"/>
          <w:highlight w:val="none"/>
          <w:u w:val="dotted"/>
        </w:rPr>
        <w:t xml:space="preserve">                                          </w:t>
      </w:r>
    </w:p>
    <w:p w14:paraId="1854DCE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dotted"/>
        </w:rPr>
        <w:t xml:space="preserve">                                                       </w:t>
      </w:r>
    </w:p>
    <w:p w14:paraId="2C9C599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法律依据：</w:t>
      </w:r>
      <w:r>
        <w:rPr>
          <w:rFonts w:hint="eastAsia" w:ascii="仿宋" w:hAnsi="仿宋" w:eastAsia="仿宋" w:cs="仿宋"/>
          <w:color w:val="auto"/>
          <w:sz w:val="24"/>
          <w:szCs w:val="24"/>
          <w:highlight w:val="none"/>
          <w:u w:val="dotted"/>
        </w:rPr>
        <w:t xml:space="preserve">                                          </w:t>
      </w:r>
    </w:p>
    <w:p w14:paraId="1A8A2A9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u w:val="dotted"/>
        </w:rPr>
        <w:t xml:space="preserve">                                                     </w:t>
      </w:r>
    </w:p>
    <w:p w14:paraId="0C09066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质疑事项2</w:t>
      </w:r>
    </w:p>
    <w:p w14:paraId="470E44E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79FE9C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四、与质疑事项相关的质疑请求</w:t>
      </w:r>
    </w:p>
    <w:p w14:paraId="5A9EDCA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highlight w:val="none"/>
          <w:u w:val="dotted"/>
        </w:rPr>
      </w:pPr>
      <w:r>
        <w:rPr>
          <w:rFonts w:hint="eastAsia" w:ascii="仿宋" w:hAnsi="仿宋" w:eastAsia="仿宋" w:cs="仿宋"/>
          <w:color w:val="auto"/>
          <w:sz w:val="24"/>
          <w:szCs w:val="24"/>
          <w:highlight w:val="none"/>
        </w:rPr>
        <w:t>请求：</w:t>
      </w:r>
      <w:r>
        <w:rPr>
          <w:rFonts w:hint="eastAsia" w:ascii="仿宋" w:hAnsi="仿宋" w:eastAsia="仿宋" w:cs="仿宋"/>
          <w:color w:val="auto"/>
          <w:sz w:val="24"/>
          <w:szCs w:val="24"/>
          <w:highlight w:val="none"/>
          <w:u w:val="dotted"/>
        </w:rPr>
        <w:t xml:space="preserve">                                               </w:t>
      </w:r>
    </w:p>
    <w:p w14:paraId="7FDB5E60">
      <w:pPr>
        <w:keepNext w:val="0"/>
        <w:keepLines w:val="0"/>
        <w:pageBreakBefore w:val="0"/>
        <w:widowControl w:val="0"/>
        <w:kinsoku/>
        <w:wordWrap/>
        <w:overflowPunct/>
        <w:topLinePunct w:val="0"/>
        <w:autoSpaceDE/>
        <w:autoSpaceDN/>
        <w:bidi w:val="0"/>
        <w:spacing w:line="360" w:lineRule="auto"/>
        <w:ind w:firstLine="2160" w:firstLineChars="9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签字(签章)：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公章：</w:t>
      </w:r>
      <w:r>
        <w:rPr>
          <w:rFonts w:hint="eastAsia" w:ascii="仿宋" w:hAnsi="仿宋" w:eastAsia="仿宋" w:cs="仿宋"/>
          <w:color w:val="auto"/>
          <w:sz w:val="24"/>
          <w:szCs w:val="24"/>
          <w:highlight w:val="none"/>
          <w:u w:val="single"/>
        </w:rPr>
        <w:t xml:space="preserve">                </w:t>
      </w:r>
    </w:p>
    <w:p w14:paraId="6C820A7E">
      <w:pPr>
        <w:keepNext w:val="0"/>
        <w:keepLines w:val="0"/>
        <w:pageBreakBefore w:val="0"/>
        <w:widowControl w:val="0"/>
        <w:kinsoku/>
        <w:wordWrap/>
        <w:overflowPunct/>
        <w:topLinePunct w:val="0"/>
        <w:autoSpaceDE/>
        <w:autoSpaceDN/>
        <w:bidi w:val="0"/>
        <w:spacing w:line="360" w:lineRule="auto"/>
        <w:ind w:firstLine="2160" w:firstLineChars="90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p>
    <w:p w14:paraId="531CFD03">
      <w:pPr>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r>
        <w:rPr>
          <w:rFonts w:hint="eastAsia" w:ascii="仿宋" w:hAnsi="仿宋" w:eastAsia="仿宋" w:cs="仿宋"/>
          <w:b/>
          <w:color w:val="auto"/>
          <w:sz w:val="24"/>
          <w:szCs w:val="24"/>
          <w:highlight w:val="none"/>
        </w:rPr>
        <w:t>质疑函制作说明</w:t>
      </w:r>
    </w:p>
    <w:p w14:paraId="1FB53959">
      <w:pPr>
        <w:jc w:val="center"/>
        <w:rPr>
          <w:rFonts w:hint="eastAsia" w:ascii="仿宋" w:hAnsi="仿宋" w:eastAsia="仿宋" w:cs="仿宋"/>
          <w:b/>
          <w:color w:val="auto"/>
          <w:sz w:val="24"/>
          <w:szCs w:val="24"/>
          <w:highlight w:val="none"/>
        </w:rPr>
      </w:pPr>
    </w:p>
    <w:p w14:paraId="636DF026">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1.供应商提出质疑时，应提交质疑函和必要的证明材料。</w:t>
      </w:r>
    </w:p>
    <w:p w14:paraId="516D3022">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szCs w:val="24"/>
          <w:highlight w:val="none"/>
        </w:rPr>
        <w:t>供应商签署的授权委托书。授权委托书应载明代理人的姓名或者名称、代理事项、具体权限、期限和相关事项。</w:t>
      </w:r>
    </w:p>
    <w:p w14:paraId="1BC3E7C5">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3.质疑供应商若对项目的某一分包进行质疑，质疑函中应列明具体分包号。</w:t>
      </w:r>
    </w:p>
    <w:p w14:paraId="01E35DAA">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4.质疑函的质疑事项应具体、明确，并有必要的事实依据和法律依据。</w:t>
      </w:r>
    </w:p>
    <w:p w14:paraId="0226942E">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5.质疑函的质疑请求应与质疑事项相关。</w:t>
      </w:r>
    </w:p>
    <w:p w14:paraId="133305F5">
      <w:pPr>
        <w:spacing w:line="36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5C73E0E8">
      <w:pPr>
        <w:spacing w:line="360" w:lineRule="auto"/>
        <w:rPr>
          <w:color w:val="auto"/>
          <w:highlight w:val="none"/>
        </w:rPr>
      </w:pPr>
    </w:p>
    <w:sectPr>
      <w:footerReference r:id="rId9" w:type="first"/>
      <w:footerReference r:id="rId8" w:type="default"/>
      <w:pgSz w:w="11906" w:h="16838"/>
      <w:pgMar w:top="1440" w:right="1418" w:bottom="1440" w:left="1418" w:header="907" w:footer="850"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907D2">
    <w:pPr>
      <w:pStyle w:val="13"/>
      <w:ind w:right="-56"/>
      <w:jc w:val="both"/>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2685D">
    <w:pPr>
      <w:pStyle w:val="13"/>
      <w:ind w:right="-56"/>
      <w:jc w:val="both"/>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C4911">
    <w:pPr>
      <w:pStyle w:val="13"/>
      <w:tabs>
        <w:tab w:val="left" w:pos="5713"/>
        <w:tab w:val="clear" w:pos="4153"/>
      </w:tabs>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CDDEF">
    <w:pPr>
      <w:pStyle w:val="13"/>
      <w:ind w:right="-56"/>
      <w:jc w:val="both"/>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75CC9">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475CC9">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7AA4">
    <w:pPr>
      <w:pStyle w:val="13"/>
      <w:tabs>
        <w:tab w:val="left" w:pos="5713"/>
        <w:tab w:val="clear" w:pos="4153"/>
      </w:tabs>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D3AA7">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AD3AA7">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6816C">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C87F">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8F79BD"/>
    <w:multiLevelType w:val="singleLevel"/>
    <w:tmpl w:val="A38F79BD"/>
    <w:lvl w:ilvl="0" w:tentative="0">
      <w:start w:val="1"/>
      <w:numFmt w:val="decimal"/>
      <w:suff w:val="nothing"/>
      <w:lvlText w:val="（%1）"/>
      <w:lvlJc w:val="left"/>
    </w:lvl>
  </w:abstractNum>
  <w:abstractNum w:abstractNumId="1">
    <w:nsid w:val="BEA51CAF"/>
    <w:multiLevelType w:val="singleLevel"/>
    <w:tmpl w:val="BEA51CAF"/>
    <w:lvl w:ilvl="0" w:tentative="0">
      <w:start w:val="8"/>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mYWEyNjZlN2ZiZTBjNTJlZDI4MzU1Y2M4MDNmYjgifQ=="/>
  </w:docVars>
  <w:rsids>
    <w:rsidRoot w:val="12E76536"/>
    <w:rsid w:val="004200A4"/>
    <w:rsid w:val="005C7082"/>
    <w:rsid w:val="006570F0"/>
    <w:rsid w:val="00E842EE"/>
    <w:rsid w:val="01AA5582"/>
    <w:rsid w:val="02081C64"/>
    <w:rsid w:val="037D0A88"/>
    <w:rsid w:val="049F448A"/>
    <w:rsid w:val="04B52C5F"/>
    <w:rsid w:val="055A55B4"/>
    <w:rsid w:val="06EC3CFB"/>
    <w:rsid w:val="09B27929"/>
    <w:rsid w:val="0BA14614"/>
    <w:rsid w:val="0C601702"/>
    <w:rsid w:val="0C61547A"/>
    <w:rsid w:val="0E4868F2"/>
    <w:rsid w:val="0FEC0B8E"/>
    <w:rsid w:val="102E2AE9"/>
    <w:rsid w:val="11366F3E"/>
    <w:rsid w:val="11C60997"/>
    <w:rsid w:val="11EB7CC0"/>
    <w:rsid w:val="129E3ADA"/>
    <w:rsid w:val="12A63AB0"/>
    <w:rsid w:val="12E76536"/>
    <w:rsid w:val="12F96681"/>
    <w:rsid w:val="152940D5"/>
    <w:rsid w:val="16F36F57"/>
    <w:rsid w:val="17876D25"/>
    <w:rsid w:val="17EE5EF3"/>
    <w:rsid w:val="18777B29"/>
    <w:rsid w:val="1A1C5126"/>
    <w:rsid w:val="1A6974B7"/>
    <w:rsid w:val="1A894C81"/>
    <w:rsid w:val="1A98557A"/>
    <w:rsid w:val="1AA61D4B"/>
    <w:rsid w:val="1B2674C4"/>
    <w:rsid w:val="1C2077B4"/>
    <w:rsid w:val="1C8D5C41"/>
    <w:rsid w:val="1CC32580"/>
    <w:rsid w:val="1D3C513C"/>
    <w:rsid w:val="1D7A4237"/>
    <w:rsid w:val="1E075A4F"/>
    <w:rsid w:val="1E635082"/>
    <w:rsid w:val="1F193DEC"/>
    <w:rsid w:val="20703915"/>
    <w:rsid w:val="20E64FFC"/>
    <w:rsid w:val="218F3DC8"/>
    <w:rsid w:val="221768AF"/>
    <w:rsid w:val="22D43509"/>
    <w:rsid w:val="23050980"/>
    <w:rsid w:val="23482EBC"/>
    <w:rsid w:val="249917FE"/>
    <w:rsid w:val="24C76EE3"/>
    <w:rsid w:val="255C215A"/>
    <w:rsid w:val="257C641D"/>
    <w:rsid w:val="265C1A88"/>
    <w:rsid w:val="28A27541"/>
    <w:rsid w:val="28B93730"/>
    <w:rsid w:val="29A0362E"/>
    <w:rsid w:val="2A4B17EC"/>
    <w:rsid w:val="2ABC4498"/>
    <w:rsid w:val="2BD63DD5"/>
    <w:rsid w:val="2BE912BD"/>
    <w:rsid w:val="2BFE5414"/>
    <w:rsid w:val="2C732934"/>
    <w:rsid w:val="2D4A72BC"/>
    <w:rsid w:val="2DB35AC9"/>
    <w:rsid w:val="2DD0797B"/>
    <w:rsid w:val="2E862DF3"/>
    <w:rsid w:val="2EDF252C"/>
    <w:rsid w:val="2F1F0B51"/>
    <w:rsid w:val="2F423664"/>
    <w:rsid w:val="2F6916BD"/>
    <w:rsid w:val="30543074"/>
    <w:rsid w:val="31234395"/>
    <w:rsid w:val="31726692"/>
    <w:rsid w:val="322E009C"/>
    <w:rsid w:val="32A974A8"/>
    <w:rsid w:val="32E3110C"/>
    <w:rsid w:val="340F1D3E"/>
    <w:rsid w:val="347A7EFD"/>
    <w:rsid w:val="35E65188"/>
    <w:rsid w:val="369C6124"/>
    <w:rsid w:val="36B26588"/>
    <w:rsid w:val="36DD5106"/>
    <w:rsid w:val="375D4927"/>
    <w:rsid w:val="37AE6F16"/>
    <w:rsid w:val="37E5253C"/>
    <w:rsid w:val="385A5CF3"/>
    <w:rsid w:val="390B35D9"/>
    <w:rsid w:val="399B58CF"/>
    <w:rsid w:val="3CCF0CF6"/>
    <w:rsid w:val="3E995BBF"/>
    <w:rsid w:val="3FC65745"/>
    <w:rsid w:val="403E177F"/>
    <w:rsid w:val="40575DDD"/>
    <w:rsid w:val="41F8595E"/>
    <w:rsid w:val="41FA0CE7"/>
    <w:rsid w:val="43D800A0"/>
    <w:rsid w:val="45173170"/>
    <w:rsid w:val="45E10BA3"/>
    <w:rsid w:val="461B01E7"/>
    <w:rsid w:val="46612836"/>
    <w:rsid w:val="46966BD2"/>
    <w:rsid w:val="46982B4D"/>
    <w:rsid w:val="46AD0055"/>
    <w:rsid w:val="477D2899"/>
    <w:rsid w:val="4807010B"/>
    <w:rsid w:val="492A3CFE"/>
    <w:rsid w:val="492E0052"/>
    <w:rsid w:val="496B2B1E"/>
    <w:rsid w:val="49B02FC2"/>
    <w:rsid w:val="4B022BD9"/>
    <w:rsid w:val="4C4F0870"/>
    <w:rsid w:val="4CE13E46"/>
    <w:rsid w:val="4E6C190A"/>
    <w:rsid w:val="4EA36CBD"/>
    <w:rsid w:val="4F9B05BF"/>
    <w:rsid w:val="4FD61764"/>
    <w:rsid w:val="50851BD0"/>
    <w:rsid w:val="50BB64D4"/>
    <w:rsid w:val="50C32159"/>
    <w:rsid w:val="51232EC5"/>
    <w:rsid w:val="51AD057B"/>
    <w:rsid w:val="52AC4AFD"/>
    <w:rsid w:val="53580C79"/>
    <w:rsid w:val="537D2167"/>
    <w:rsid w:val="547C7A1A"/>
    <w:rsid w:val="5519023F"/>
    <w:rsid w:val="5580185C"/>
    <w:rsid w:val="5601395B"/>
    <w:rsid w:val="576B2154"/>
    <w:rsid w:val="57D43DD6"/>
    <w:rsid w:val="57E207EA"/>
    <w:rsid w:val="58054562"/>
    <w:rsid w:val="59294037"/>
    <w:rsid w:val="597F2336"/>
    <w:rsid w:val="59F56B19"/>
    <w:rsid w:val="608149CA"/>
    <w:rsid w:val="6143001D"/>
    <w:rsid w:val="61CD6B20"/>
    <w:rsid w:val="629D3706"/>
    <w:rsid w:val="62B15D9A"/>
    <w:rsid w:val="630540BC"/>
    <w:rsid w:val="636B6395"/>
    <w:rsid w:val="63941E6C"/>
    <w:rsid w:val="63DA1DB1"/>
    <w:rsid w:val="66957E7E"/>
    <w:rsid w:val="68336E40"/>
    <w:rsid w:val="68830403"/>
    <w:rsid w:val="688471B6"/>
    <w:rsid w:val="6A045E4E"/>
    <w:rsid w:val="6ACB25EE"/>
    <w:rsid w:val="6B344DF0"/>
    <w:rsid w:val="6B7B4D86"/>
    <w:rsid w:val="6C1F6EE3"/>
    <w:rsid w:val="6CF50B68"/>
    <w:rsid w:val="6DD55951"/>
    <w:rsid w:val="6E573418"/>
    <w:rsid w:val="6E5A5DCA"/>
    <w:rsid w:val="6E635BAD"/>
    <w:rsid w:val="6E8C7878"/>
    <w:rsid w:val="6EA76429"/>
    <w:rsid w:val="6FC55F5E"/>
    <w:rsid w:val="7008096D"/>
    <w:rsid w:val="705C4D63"/>
    <w:rsid w:val="71C70D25"/>
    <w:rsid w:val="72623617"/>
    <w:rsid w:val="733C6A77"/>
    <w:rsid w:val="735F70C7"/>
    <w:rsid w:val="73D508C2"/>
    <w:rsid w:val="7440173D"/>
    <w:rsid w:val="75231D93"/>
    <w:rsid w:val="752F0976"/>
    <w:rsid w:val="75C002FB"/>
    <w:rsid w:val="75CF1A62"/>
    <w:rsid w:val="765E6FC2"/>
    <w:rsid w:val="76680A0C"/>
    <w:rsid w:val="778535F5"/>
    <w:rsid w:val="77F909F3"/>
    <w:rsid w:val="78634046"/>
    <w:rsid w:val="78913A5E"/>
    <w:rsid w:val="796F2C59"/>
    <w:rsid w:val="7A0E55E5"/>
    <w:rsid w:val="7A481006"/>
    <w:rsid w:val="7C201250"/>
    <w:rsid w:val="7CDC12F7"/>
    <w:rsid w:val="7CF20C20"/>
    <w:rsid w:val="7DF10ED8"/>
    <w:rsid w:val="7E39083F"/>
    <w:rsid w:val="7EC16401"/>
    <w:rsid w:val="7FE32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Lines="0" w:afterLines="0" w:line="360" w:lineRule="auto"/>
      <w:jc w:val="center"/>
      <w:outlineLvl w:val="0"/>
    </w:pPr>
    <w:rPr>
      <w:rFonts w:ascii="仿宋" w:hAnsi="仿宋" w:eastAsia="仿宋"/>
      <w:b/>
      <w:bCs/>
      <w:kern w:val="44"/>
      <w:sz w:val="28"/>
      <w:szCs w:val="44"/>
    </w:rPr>
  </w:style>
  <w:style w:type="paragraph" w:styleId="3">
    <w:name w:val="heading 2"/>
    <w:basedOn w:val="1"/>
    <w:next w:val="1"/>
    <w:unhideWhenUsed/>
    <w:qFormat/>
    <w:uiPriority w:val="0"/>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Normal Indent"/>
    <w:basedOn w:val="1"/>
    <w:next w:val="1"/>
    <w:unhideWhenUsed/>
    <w:qFormat/>
    <w:uiPriority w:val="99"/>
    <w:pPr>
      <w:adjustRightInd/>
      <w:spacing w:line="240" w:lineRule="auto"/>
      <w:ind w:firstLine="425"/>
      <w:jc w:val="both"/>
      <w:textAlignment w:val="auto"/>
    </w:pPr>
    <w:rPr>
      <w:kern w:val="2"/>
      <w:sz w:val="21"/>
    </w:rPr>
  </w:style>
  <w:style w:type="paragraph" w:styleId="6">
    <w:name w:val="toa heading"/>
    <w:basedOn w:val="1"/>
    <w:next w:val="1"/>
    <w:qFormat/>
    <w:uiPriority w:val="0"/>
    <w:pPr>
      <w:spacing w:before="120"/>
    </w:pPr>
    <w:rPr>
      <w:rFonts w:ascii="Arial" w:hAnsi="Arial" w:eastAsia="宋体" w:cs="Arial"/>
      <w:sz w:val="24"/>
    </w:rPr>
  </w:style>
  <w:style w:type="paragraph" w:styleId="7">
    <w:name w:val="annotation text"/>
    <w:basedOn w:val="1"/>
    <w:qFormat/>
    <w:uiPriority w:val="0"/>
    <w:pPr>
      <w:jc w:val="left"/>
    </w:pPr>
  </w:style>
  <w:style w:type="paragraph" w:styleId="8">
    <w:name w:val="Body Text"/>
    <w:basedOn w:val="1"/>
    <w:unhideWhenUsed/>
    <w:qFormat/>
    <w:uiPriority w:val="99"/>
    <w:pPr>
      <w:spacing w:after="120"/>
    </w:pPr>
  </w:style>
  <w:style w:type="paragraph" w:styleId="9">
    <w:name w:val="Body Text Indent"/>
    <w:basedOn w:val="1"/>
    <w:qFormat/>
    <w:uiPriority w:val="0"/>
    <w:pPr>
      <w:ind w:firstLine="560" w:firstLineChars="200"/>
    </w:pPr>
    <w:rPr>
      <w:sz w:val="24"/>
    </w:rPr>
  </w:style>
  <w:style w:type="paragraph" w:styleId="10">
    <w:name w:val="Plain Text"/>
    <w:basedOn w:val="1"/>
    <w:unhideWhenUsed/>
    <w:qFormat/>
    <w:uiPriority w:val="0"/>
    <w:rPr>
      <w:rFonts w:ascii="宋体" w:hAnsi="Courier New"/>
      <w:szCs w:val="21"/>
    </w:rPr>
  </w:style>
  <w:style w:type="paragraph" w:styleId="11">
    <w:name w:val="Body Text Indent 2"/>
    <w:basedOn w:val="1"/>
    <w:next w:val="12"/>
    <w:qFormat/>
    <w:uiPriority w:val="99"/>
    <w:pPr>
      <w:widowControl/>
      <w:spacing w:before="100" w:beforeAutospacing="1" w:after="100" w:afterAutospacing="1"/>
      <w:jc w:val="left"/>
    </w:pPr>
    <w:rPr>
      <w:rFonts w:ascii="宋体" w:hAnsi="宋体"/>
      <w:kern w:val="0"/>
      <w:sz w:val="24"/>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footer"/>
    <w:basedOn w:val="1"/>
    <w:qFormat/>
    <w:uiPriority w:val="99"/>
    <w:pPr>
      <w:tabs>
        <w:tab w:val="center" w:pos="4153"/>
        <w:tab w:val="right" w:pos="8306"/>
      </w:tabs>
      <w:snapToGrid w:val="0"/>
      <w:jc w:val="left"/>
    </w:pPr>
    <w:rPr>
      <w:sz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6">
    <w:name w:val="toc 1"/>
    <w:basedOn w:val="1"/>
    <w:next w:val="1"/>
    <w:unhideWhenUsed/>
    <w:qFormat/>
    <w:uiPriority w:val="39"/>
    <w:pPr>
      <w:tabs>
        <w:tab w:val="right" w:leader="dot" w:pos="9070"/>
      </w:tabs>
      <w:spacing w:beforeLines="0" w:afterLines="0" w:line="360" w:lineRule="auto"/>
      <w:ind w:left="0" w:firstLine="0" w:firstLineChars="0"/>
    </w:pPr>
    <w:rPr>
      <w:rFonts w:ascii="仿宋" w:hAnsi="仿宋" w:eastAsia="仿宋" w:cs="仿宋"/>
      <w:bCs/>
      <w:caps/>
      <w:sz w:val="28"/>
      <w:highlight w:val="none"/>
    </w:rPr>
  </w:style>
  <w:style w:type="paragraph" w:styleId="17">
    <w:name w:val="HTML Preformatted"/>
    <w:basedOn w:val="1"/>
    <w:next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18">
    <w:name w:val="Body Text First Indent"/>
    <w:basedOn w:val="8"/>
    <w:next w:val="1"/>
    <w:qFormat/>
    <w:uiPriority w:val="0"/>
    <w:pPr>
      <w:ind w:firstLine="420" w:firstLineChars="100"/>
    </w:pPr>
  </w:style>
  <w:style w:type="paragraph" w:styleId="19">
    <w:name w:val="Body Text First Indent 2"/>
    <w:basedOn w:val="9"/>
    <w:next w:val="1"/>
    <w:qFormat/>
    <w:uiPriority w:val="0"/>
    <w:pPr>
      <w:ind w:firstLine="420" w:firstLineChars="200"/>
    </w:pPr>
  </w:style>
  <w:style w:type="table" w:styleId="21">
    <w:name w:val="Table Grid"/>
    <w:basedOn w:val="2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TML Sample"/>
    <w:basedOn w:val="22"/>
    <w:qFormat/>
    <w:uiPriority w:val="0"/>
    <w:rPr>
      <w:rFonts w:ascii="Courier New" w:hAnsi="Courier New"/>
    </w:rPr>
  </w:style>
  <w:style w:type="paragraph" w:customStyle="1" w:styleId="25">
    <w:name w:val="样式"/>
    <w:qFormat/>
    <w:uiPriority w:val="0"/>
    <w:pPr>
      <w:widowControl w:val="0"/>
      <w:autoSpaceDE w:val="0"/>
      <w:autoSpaceDN w:val="0"/>
      <w:adjustRightInd w:val="0"/>
    </w:pPr>
    <w:rPr>
      <w:rFonts w:ascii="Times New Roman" w:hAnsi="Times New Roman" w:eastAsia="宋体" w:cs="Times New Roman"/>
      <w:sz w:val="24"/>
      <w:lang w:val="en-US" w:eastAsia="zh-CN" w:bidi="ar-SA"/>
    </w:rPr>
  </w:style>
  <w:style w:type="paragraph" w:customStyle="1" w:styleId="26">
    <w:name w:val="列出段落1"/>
    <w:basedOn w:val="1"/>
    <w:qFormat/>
    <w:uiPriority w:val="0"/>
    <w:pPr>
      <w:ind w:firstLine="420" w:firstLineChars="200"/>
    </w:pPr>
  </w:style>
  <w:style w:type="paragraph" w:customStyle="1" w:styleId="27">
    <w:name w:val="2级正文"/>
    <w:basedOn w:val="1"/>
    <w:qFormat/>
    <w:uiPriority w:val="0"/>
    <w:pPr>
      <w:ind w:left="721" w:hanging="420"/>
      <w:jc w:val="left"/>
    </w:pPr>
    <w:rPr>
      <w:rFonts w:ascii="宋体" w:hAnsi="宋体" w:cs="宋体"/>
      <w:szCs w:val="21"/>
    </w:rPr>
  </w:style>
  <w:style w:type="paragraph" w:customStyle="1" w:styleId="28">
    <w:name w:val="样式1"/>
    <w:basedOn w:val="1"/>
    <w:qFormat/>
    <w:uiPriority w:val="0"/>
    <w:pPr>
      <w:spacing w:line="240" w:lineRule="auto"/>
      <w:jc w:val="both"/>
    </w:pPr>
    <w:rPr>
      <w:rFonts w:ascii="宋体" w:hAnsi="宋体"/>
      <w:sz w:val="21"/>
      <w:szCs w:val="21"/>
    </w:rPr>
  </w:style>
  <w:style w:type="paragraph" w:customStyle="1" w:styleId="29">
    <w:name w:val="样式 标题 3h3H3sect1.2.3 + 五号 段前: 6 磅 段后: 6 磅 行距: 单倍行距"/>
    <w:basedOn w:val="4"/>
    <w:qFormat/>
    <w:uiPriority w:val="0"/>
    <w:pPr>
      <w:spacing w:before="120" w:after="120" w:line="240" w:lineRule="auto"/>
    </w:pPr>
    <w:rPr>
      <w:sz w:val="21"/>
      <w:szCs w:val="20"/>
    </w:rPr>
  </w:style>
  <w:style w:type="paragraph" w:customStyle="1" w:styleId="3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31">
    <w:name w:val="Table Normal"/>
    <w:basedOn w:val="20"/>
    <w:qFormat/>
    <w:uiPriority w:val="0"/>
    <w:tblPr>
      <w:tblCellMar>
        <w:left w:w="0" w:type="dxa"/>
        <w:right w:w="0" w:type="dxa"/>
      </w:tblCellMar>
    </w:tblPr>
  </w:style>
  <w:style w:type="character" w:customStyle="1" w:styleId="32">
    <w:name w:val="font11"/>
    <w:basedOn w:val="22"/>
    <w:qFormat/>
    <w:uiPriority w:val="0"/>
    <w:rPr>
      <w:rFonts w:hint="eastAsia" w:ascii="宋体" w:hAnsi="宋体" w:eastAsia="宋体" w:cs="宋体"/>
      <w:b/>
      <w:bCs/>
      <w:color w:val="000000"/>
      <w:sz w:val="24"/>
      <w:szCs w:val="24"/>
      <w:u w:val="none"/>
    </w:rPr>
  </w:style>
  <w:style w:type="character" w:customStyle="1" w:styleId="33">
    <w:name w:val="font01"/>
    <w:basedOn w:val="22"/>
    <w:qFormat/>
    <w:uiPriority w:val="0"/>
    <w:rPr>
      <w:rFonts w:hint="eastAsia" w:ascii="宋体" w:hAnsi="宋体" w:eastAsia="宋体" w:cs="宋体"/>
      <w:color w:val="000000"/>
      <w:sz w:val="24"/>
      <w:szCs w:val="24"/>
      <w:u w:val="none"/>
    </w:rPr>
  </w:style>
  <w:style w:type="character" w:customStyle="1" w:styleId="34">
    <w:name w:val="表文"/>
    <w:qFormat/>
    <w:uiPriority w:val="0"/>
    <w:rPr>
      <w:rFonts w:ascii="宋体" w:hAnsi="宋体"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13279</Words>
  <Characters>14220</Characters>
  <Lines>0</Lines>
  <Paragraphs>0</Paragraphs>
  <TotalTime>2</TotalTime>
  <ScaleCrop>false</ScaleCrop>
  <LinksUpToDate>false</LinksUpToDate>
  <CharactersWithSpaces>14331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2025-08-15T02:53:00Z</dcterms:created>
  <dc:creator> 懒洋洋</dc:creator>
  <cp:lastModifiedBy>拐角</cp:lastModifiedBy>
  <dcterms:modified xsi:type="dcterms:W3CDTF">2026-10-28T09:04:07Z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FA90D710B40141B786417044FBD6F306_13</vt:lpwstr>
  </property>
  <property fmtid="{D5CDD505-2E9C-101B-9397-08002B2CF9AE}" pid="4" name="KSOTemplateDocerSaveRecord">
    <vt:lpwstr>eyJoZGlkIjoiZWIzY2QzY2IyMzYyZGIyZDVjYmFiZTZhNTJhOTc0ZDgiLCJ1c2VySWQiOiIyMzk2NDgzNDEifQ==</vt:lpwstr>
  </property>
</Properties>
</file>